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C8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29AC">
        <w:rPr>
          <w:rFonts w:ascii="Times New Roman" w:hAnsi="Times New Roman" w:cs="Times New Roman"/>
          <w:b w:val="0"/>
          <w:sz w:val="24"/>
          <w:szCs w:val="24"/>
        </w:rPr>
        <w:t>Приложение №</w:t>
      </w:r>
      <w:r w:rsidRPr="00AA29AC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4</w:t>
      </w:r>
    </w:p>
    <w:p w:rsidR="00D57CC8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29AC">
        <w:rPr>
          <w:rFonts w:ascii="Times New Roman" w:hAnsi="Times New Roman" w:cs="Times New Roman"/>
          <w:b w:val="0"/>
          <w:sz w:val="24"/>
          <w:szCs w:val="24"/>
        </w:rPr>
        <w:t xml:space="preserve">к муниципальной программе </w:t>
      </w:r>
    </w:p>
    <w:p w:rsidR="00D57CC8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29AC">
        <w:rPr>
          <w:rFonts w:ascii="Times New Roman" w:hAnsi="Times New Roman" w:cs="Times New Roman"/>
          <w:b w:val="0"/>
          <w:sz w:val="24"/>
          <w:szCs w:val="24"/>
        </w:rPr>
        <w:t xml:space="preserve">«Предпринимательство» </w:t>
      </w:r>
    </w:p>
    <w:p w:rsidR="00A2458F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A29AC">
        <w:rPr>
          <w:rFonts w:ascii="Times New Roman" w:hAnsi="Times New Roman" w:cs="Times New Roman"/>
          <w:b w:val="0"/>
          <w:sz w:val="24"/>
          <w:szCs w:val="24"/>
        </w:rPr>
        <w:t>утвержденной</w:t>
      </w:r>
      <w:proofErr w:type="gramEnd"/>
      <w:r w:rsidRPr="00AA29AC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</w:t>
      </w:r>
    </w:p>
    <w:p w:rsidR="00D57CC8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29AC">
        <w:rPr>
          <w:rFonts w:ascii="Times New Roman" w:hAnsi="Times New Roman" w:cs="Times New Roman"/>
          <w:b w:val="0"/>
          <w:sz w:val="24"/>
          <w:szCs w:val="24"/>
        </w:rPr>
        <w:t>Администрации городского округа Домодедово</w:t>
      </w:r>
    </w:p>
    <w:p w:rsidR="00D57CC8" w:rsidRPr="00AA29AC" w:rsidRDefault="008C4765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8C4765">
        <w:rPr>
          <w:rFonts w:ascii="Times New Roman" w:hAnsi="Times New Roman" w:cs="Times New Roman"/>
          <w:b w:val="0"/>
          <w:sz w:val="24"/>
          <w:szCs w:val="24"/>
        </w:rPr>
        <w:t>31</w:t>
      </w:r>
      <w:r>
        <w:rPr>
          <w:rFonts w:ascii="Times New Roman" w:hAnsi="Times New Roman" w:cs="Times New Roman"/>
          <w:b w:val="0"/>
          <w:sz w:val="24"/>
          <w:szCs w:val="24"/>
        </w:rPr>
        <w:t>.10.2019 № 2292</w:t>
      </w:r>
      <w:bookmarkStart w:id="0" w:name="_GoBack"/>
      <w:bookmarkEnd w:id="0"/>
    </w:p>
    <w:p w:rsidR="00BA0EBE" w:rsidRDefault="00BA0EBE" w:rsidP="00BA0EBE"/>
    <w:p w:rsidR="00504ACF" w:rsidRDefault="00BA0EBE" w:rsidP="00BA0EBE">
      <w:pPr>
        <w:jc w:val="center"/>
        <w:rPr>
          <w:rFonts w:ascii="Times New Roman" w:hAnsi="Times New Roman" w:cs="Times New Roman"/>
          <w:b/>
          <w:sz w:val="24"/>
        </w:rPr>
      </w:pPr>
      <w:r w:rsidRPr="00BA0EBE">
        <w:rPr>
          <w:rFonts w:ascii="Times New Roman" w:hAnsi="Times New Roman" w:cs="Times New Roman"/>
          <w:b/>
          <w:sz w:val="24"/>
        </w:rPr>
        <w:t>Перечень мероприятий муниципальной программы «Предпринимательство»</w:t>
      </w:r>
    </w:p>
    <w:tbl>
      <w:tblPr>
        <w:tblW w:w="5465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02"/>
        <w:gridCol w:w="3043"/>
        <w:gridCol w:w="1280"/>
        <w:gridCol w:w="52"/>
        <w:gridCol w:w="1096"/>
        <w:gridCol w:w="685"/>
        <w:gridCol w:w="81"/>
        <w:gridCol w:w="68"/>
        <w:gridCol w:w="566"/>
        <w:gridCol w:w="226"/>
        <w:gridCol w:w="45"/>
        <w:gridCol w:w="23"/>
        <w:gridCol w:w="136"/>
        <w:gridCol w:w="624"/>
        <w:gridCol w:w="13"/>
        <w:gridCol w:w="171"/>
        <w:gridCol w:w="187"/>
        <w:gridCol w:w="26"/>
        <w:gridCol w:w="478"/>
        <w:gridCol w:w="84"/>
        <w:gridCol w:w="68"/>
        <w:gridCol w:w="320"/>
        <w:gridCol w:w="16"/>
        <w:gridCol w:w="368"/>
        <w:gridCol w:w="184"/>
        <w:gridCol w:w="381"/>
        <w:gridCol w:w="45"/>
        <w:gridCol w:w="13"/>
        <w:gridCol w:w="252"/>
        <w:gridCol w:w="540"/>
        <w:gridCol w:w="181"/>
        <w:gridCol w:w="19"/>
        <w:gridCol w:w="895"/>
        <w:gridCol w:w="87"/>
        <w:gridCol w:w="45"/>
        <w:gridCol w:w="375"/>
        <w:gridCol w:w="1057"/>
        <w:gridCol w:w="48"/>
        <w:gridCol w:w="32"/>
        <w:gridCol w:w="55"/>
        <w:gridCol w:w="10"/>
        <w:gridCol w:w="19"/>
        <w:gridCol w:w="1765"/>
      </w:tblGrid>
      <w:tr w:rsidR="00494F35" w:rsidRPr="00574372" w:rsidTr="00A2458F">
        <w:trPr>
          <w:trHeight w:val="497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№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proofErr w:type="gramStart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/п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финансиро</w:t>
            </w:r>
            <w:r w:rsidR="003076E3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-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4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3076E3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Объем финанси</w:t>
            </w:r>
            <w:r w:rsidR="00BA0EB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рования мероприятия в году, предшествующему году начала реализации муниципальной программы</w:t>
            </w:r>
            <w:r w:rsidR="00BA0EB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2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Всего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1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Объемы финансирования по годам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9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proofErr w:type="gramStart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Ответственный</w:t>
            </w:r>
            <w:proofErr w:type="gramEnd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58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Результаты выполнения мероприятия Подпр</w:t>
            </w:r>
            <w:r w:rsidR="003076E3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ограм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мы</w:t>
            </w:r>
          </w:p>
        </w:tc>
      </w:tr>
      <w:tr w:rsidR="00D57CC8" w:rsidRPr="00574372" w:rsidTr="00A2458F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3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2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2020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2021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2022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2023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2024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49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8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57CC8" w:rsidRPr="00574372" w:rsidTr="00A2458F">
        <w:trPr>
          <w:trHeight w:val="209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9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val="en-US"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11</w:t>
            </w:r>
          </w:p>
        </w:tc>
        <w:tc>
          <w:tcPr>
            <w:tcW w:w="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12</w:t>
            </w:r>
          </w:p>
        </w:tc>
        <w:tc>
          <w:tcPr>
            <w:tcW w:w="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13</w:t>
            </w:r>
          </w:p>
        </w:tc>
      </w:tr>
      <w:tr w:rsidR="00C57A2C" w:rsidRPr="00574372" w:rsidTr="00494F35">
        <w:trPr>
          <w:trHeight w:val="209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 xml:space="preserve">Подпрограмма </w:t>
            </w:r>
            <w:r w:rsidR="003076E3" w:rsidRPr="00A2458F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val="en-US" w:eastAsia="ru-RU"/>
              </w:rPr>
              <w:t>I</w:t>
            </w:r>
            <w:r w:rsidRPr="00A2458F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 xml:space="preserve"> «Инвестиции»</w:t>
            </w:r>
          </w:p>
        </w:tc>
      </w:tr>
      <w:tr w:rsidR="00D230DE" w:rsidRPr="00404EF4" w:rsidTr="00A2458F">
        <w:trPr>
          <w:trHeight w:val="27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55D" w:rsidRPr="00A2458F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Основное мероприятие 2</w:t>
            </w:r>
          </w:p>
          <w:p w:rsidR="0090455D" w:rsidRPr="00404EF4" w:rsidRDefault="0090455D" w:rsidP="005170F9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Создание многофункциональных индустриальных парков, технологических парков, промышленных площадок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5170F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098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55D" w:rsidRPr="00E43FA0" w:rsidRDefault="00532B41" w:rsidP="00E43FA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Увеличение объема инвестиций, привлеченных в основной капитал (без учета бюджетных инвестиций), на душу населения  до 159,9 </w:t>
            </w:r>
            <w:proofErr w:type="spellStart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тыс</w:t>
            </w:r>
            <w:proofErr w:type="gramStart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.р</w:t>
            </w:r>
            <w:proofErr w:type="gramEnd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ублей</w:t>
            </w:r>
            <w:proofErr w:type="spellEnd"/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к 2024 году.</w:t>
            </w:r>
            <w:r w:rsidR="00CA2088"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Увеличение процента заполняемости многопрофильных индустриальных парков, технологических парков, промышленных площадок индустриальных парков до 100% к 2024 году</w:t>
            </w:r>
            <w:r w:rsidR="00153CC5"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</w:t>
            </w:r>
            <w:r w:rsidR="00E43FA0" w:rsidRPr="00E43FA0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E43FA0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многопрофильных индустриальных парков, </w:t>
            </w:r>
            <w:r w:rsidR="00E43FA0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технологических парков, промышленных площадок</w:t>
            </w:r>
            <w:r w:rsidR="00E43FA0" w:rsidRPr="00E43F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43F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составит 5 к 2024 году</w:t>
            </w:r>
          </w:p>
        </w:tc>
      </w:tr>
      <w:tr w:rsidR="00D230DE" w:rsidRPr="00404EF4" w:rsidTr="00A2458F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A2458F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A2458F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A2458F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1283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5D" w:rsidRPr="00A2458F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5D" w:rsidRPr="00404EF4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B41" w:rsidRPr="00A2458F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1</w:t>
            </w:r>
          </w:p>
          <w:p w:rsidR="00532B41" w:rsidRPr="00404EF4" w:rsidRDefault="002847A0" w:rsidP="002847A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Развитие </w:t>
            </w:r>
            <w:r w:rsidR="00532B41"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инвестиционной 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привлекательности городского округа Домодедово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098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66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A2458F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A2458F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A2458F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53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41" w:rsidRPr="00A2458F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368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1.2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  <w:t>Мероприятие 2</w:t>
            </w:r>
          </w:p>
          <w:p w:rsidR="00D230DE" w:rsidRPr="00404EF4" w:rsidRDefault="00D230DE" w:rsidP="00775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Привлечение резидентов на те</w:t>
            </w:r>
            <w:r w:rsidR="00775158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 xml:space="preserve">рриторию индустриальных парков, 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 xml:space="preserve">промышленных площадок на долгосрочной основе </w:t>
            </w: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098" w:type="pct"/>
            <w:gridSpan w:val="2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2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57CC8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72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43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598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32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21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387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1.3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3</w:t>
            </w:r>
          </w:p>
          <w:p w:rsidR="00D230DE" w:rsidRPr="00404EF4" w:rsidRDefault="00D230DE" w:rsidP="00284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lastRenderedPageBreak/>
              <w:t>Создание многопрофильных индустриальных парков, промышленных площадок</w:t>
            </w: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098" w:type="pct"/>
            <w:gridSpan w:val="2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2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 xml:space="preserve">Отдел инвестиций 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72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82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82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10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698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19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1.4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4</w:t>
            </w:r>
          </w:p>
          <w:p w:rsidR="00D230DE" w:rsidRPr="00404EF4" w:rsidRDefault="00D230DE" w:rsidP="0028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Заключение договоров купли-продажи (долгосрочной аренды) земельных участков/помещений для организации производственной деятельности</w:t>
            </w:r>
            <w:r w:rsidR="002847A0"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 и складской логистики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098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30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5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56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67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223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1.5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5</w:t>
            </w:r>
          </w:p>
          <w:p w:rsidR="00D230DE" w:rsidRPr="00404EF4" w:rsidRDefault="0031074A" w:rsidP="00775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Поиск инвесторов, подготовка коммерческих предложений; организация мероприятий с презентацией </w:t>
            </w:r>
            <w:r w:rsidR="00775158" w:rsidRPr="00404EF4">
              <w:rPr>
                <w:rFonts w:ascii="Times New Roman" w:hAnsi="Times New Roman" w:cs="Times New Roman"/>
                <w:sz w:val="16"/>
                <w:szCs w:val="20"/>
              </w:rPr>
              <w:t>городского округа Домодедово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; проведение личных встреч Главы с представителями бизнеса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098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24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24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27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 xml:space="preserve">округа 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23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258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31074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Основное мероприятие 7.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Организация работ по поддержке и развитию промышленного</w:t>
            </w:r>
            <w:r w:rsidR="00362688"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 потенциала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098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Увеличение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</w:rPr>
              <w:t>количества привлеченных резидентов на 21 к 2024 году  на территории городского округа Домодедово</w:t>
            </w:r>
          </w:p>
        </w:tc>
      </w:tr>
      <w:tr w:rsidR="00D230DE" w:rsidRPr="00404EF4" w:rsidTr="00A2458F">
        <w:trPr>
          <w:trHeight w:val="29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29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353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353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261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31074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  <w:r w:rsidR="00D230D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1</w:t>
            </w:r>
          </w:p>
          <w:p w:rsidR="00D230DE" w:rsidRPr="00404EF4" w:rsidRDefault="0031074A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Создание и открытие новых промышленных предприятий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098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32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47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39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82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31074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  <w:r w:rsidR="00D230D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2</w:t>
            </w:r>
          </w:p>
          <w:p w:rsidR="006701B7" w:rsidRPr="00404EF4" w:rsidRDefault="00594AE6" w:rsidP="006701B7">
            <w:pPr>
              <w:spacing w:after="225" w:line="240" w:lineRule="auto"/>
              <w:outlineLvl w:val="2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Заключение т</w:t>
            </w:r>
            <w:r w:rsidR="006701B7" w:rsidRPr="00404EF4">
              <w:rPr>
                <w:rFonts w:ascii="Times New Roman" w:hAnsi="Times New Roman" w:cs="Times New Roman"/>
                <w:sz w:val="16"/>
                <w:szCs w:val="20"/>
              </w:rPr>
              <w:t>ерриториально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го </w:t>
            </w:r>
            <w:r w:rsidR="006701B7" w:rsidRPr="00404EF4">
              <w:rPr>
                <w:rFonts w:ascii="Times New Roman" w:hAnsi="Times New Roman" w:cs="Times New Roman"/>
                <w:sz w:val="16"/>
                <w:szCs w:val="20"/>
              </w:rPr>
              <w:t>трехсторонне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го</w:t>
            </w:r>
            <w:r w:rsidR="006701B7"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 соглашени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я</w:t>
            </w:r>
            <w:r w:rsidR="006701B7"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 о социальном партнерстве в городском </w:t>
            </w:r>
            <w:r w:rsidR="006701B7" w:rsidRPr="00404EF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округе Домодедово </w:t>
            </w:r>
          </w:p>
          <w:p w:rsidR="004E36D5" w:rsidRPr="00404EF4" w:rsidRDefault="004E36D5" w:rsidP="00481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098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lastRenderedPageBreak/>
              <w:t>В пределах средств, предусмотренных на основную деятельность исполнителей</w:t>
            </w:r>
          </w:p>
        </w:tc>
        <w:tc>
          <w:tcPr>
            <w:tcW w:w="48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 xml:space="preserve">Отдел инвестиций и предпринимательства комитета по экономике 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администрации городского округа Домодедово</w:t>
            </w:r>
          </w:p>
        </w:tc>
        <w:tc>
          <w:tcPr>
            <w:tcW w:w="5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109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2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109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2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12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19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27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31074A" w:rsidP="00310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  <w:r w:rsidR="00D230D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3</w:t>
            </w:r>
          </w:p>
          <w:p w:rsidR="00D230DE" w:rsidRPr="00404EF4" w:rsidRDefault="0031074A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Увеличение числа работников прошедших обучение, направленное на повышение квалификации</w:t>
            </w:r>
          </w:p>
          <w:p w:rsidR="00FA67FF" w:rsidRPr="00404EF4" w:rsidRDefault="00FA67FF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098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39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46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353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79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445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31074A" w:rsidP="00310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  <w:r w:rsidR="00D230D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4</w:t>
            </w:r>
          </w:p>
          <w:p w:rsidR="00D230DE" w:rsidRPr="00404EF4" w:rsidRDefault="0031074A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Увеличение предприятий с высокопроизводительными рабочими местами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098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53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52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52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A2458F">
        <w:trPr>
          <w:trHeight w:val="47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098" w:type="pct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7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494F35">
        <w:trPr>
          <w:trHeight w:val="314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>Подпрограмма II «Развитие конкуренции»</w:t>
            </w:r>
          </w:p>
        </w:tc>
      </w:tr>
      <w:tr w:rsidR="00991E69" w:rsidRPr="00404EF4" w:rsidTr="00FD626C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A29" w:rsidRDefault="00991E69" w:rsidP="006C65F9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Основное мероприятие </w:t>
            </w:r>
            <w:r w:rsidR="006C65F9"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2 </w:t>
            </w:r>
          </w:p>
          <w:p w:rsidR="00991E69" w:rsidRPr="00404EF4" w:rsidRDefault="00991E69" w:rsidP="006C65F9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Развитие конкурентной среды в рамках Федерального закона № 44-ФЗ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6C65F9" w:rsidP="00AA29AC">
            <w:pPr>
              <w:widowControl w:val="0"/>
              <w:autoSpaceDE w:val="0"/>
              <w:autoSpaceDN w:val="0"/>
              <w:adjustRightInd w:val="0"/>
              <w:ind w:left="-7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proofErr w:type="gramStart"/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 к 2024 году составит 3,6%</w:t>
            </w:r>
            <w:r w:rsidR="00AA29AC"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.  Доля несостоявшихся торгов от общего количества объявленных торгов в 2024 году составит 40%. Доля общей экономии денежных средств от общей суммы объявленных торгов к 2024 году составит 7%. Доля закупок среди субъектов малого и среднего предпринимательства, социально ориентированных некоммерческих</w:t>
            </w:r>
            <w:proofErr w:type="gramEnd"/>
            <w:r w:rsidR="00AA29AC"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организаций, осуществляемых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в 2024 году составит 33%. Среднее количество участников на торгах в 2024 году составит 3,4 единиц</w:t>
            </w: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FD626C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FD626C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FD626C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t>1.1.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1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Информирование общественности о предполагаемых потребностях в товарах 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(работах, услугах) в рамках размещения информации об осуществлении закупок и проведении иных конкурентных процедур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024A29" w:rsidP="00991E69">
            <w:pPr>
              <w:widowControl w:val="0"/>
              <w:autoSpaceDE w:val="0"/>
              <w:autoSpaceDN w:val="0"/>
              <w:adjustRightInd w:val="0"/>
              <w:ind w:left="-7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Привлечение максимального числа участников </w:t>
            </w: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>конкурентных процедур для обеспечения нужд муниципальных заказчиков городского округа Домодедово</w:t>
            </w: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 xml:space="preserve">о бюджета 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CF2D0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br w:type="page"/>
              <w:t>1.2.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2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Разработка и актуализация правовых актов в сфере закупок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024A29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Оптимизация и улучшение функционирования контрактных служб и контрактных управляющих муниципальных заказчиков и рабочих групп.</w:t>
            </w: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t>1.3.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Мероприятие 3  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Анализ и мониторинг закупочной деятельности заказчиков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024A29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Выявление, устранение и предупреждение нарушений и недоработок в сфере закупочной деятельности.</w:t>
            </w:r>
          </w:p>
        </w:tc>
      </w:tr>
      <w:tr w:rsidR="00991E69" w:rsidRPr="00404EF4" w:rsidTr="006C65F9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6C65F9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6C65F9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городского округа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6C65F9">
        <w:trPr>
          <w:trHeight w:val="73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94F3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FD626C">
        <w:trPr>
          <w:trHeight w:val="398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t>1.4.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4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Организация проведения совместных закупок</w:t>
            </w:r>
            <w:r w:rsidRPr="00404EF4">
              <w:rPr>
                <w:rFonts w:cs="Times New Roman"/>
                <w:sz w:val="16"/>
                <w:szCs w:val="18"/>
              </w:rPr>
              <w:t xml:space="preserve">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Итого</w:t>
            </w:r>
          </w:p>
        </w:tc>
        <w:tc>
          <w:tcPr>
            <w:tcW w:w="211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024A29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024A29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Централизованное обеспечение нужд муниципальных заказчиков, улучшение качества и снижение стоимости товаров (работа, услуг). Привлечение к закупам большего количества участников</w:t>
            </w: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FD626C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FD626C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FD626C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CF2D0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Основное мероприятие </w:t>
            </w:r>
            <w:r w:rsidR="00024A29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Мониторинг и контроль закупок по Федеральному закону</w:t>
            </w: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№ 223-ФЗ «О закупках товаров, работ, услуг отдельными видами юридических лиц» на предмет участия субъектов малого и среднего предпринимательства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FD626C">
        <w:trPr>
          <w:trHeight w:val="282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FD626C">
        <w:trPr>
          <w:trHeight w:val="282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городского округа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</w:t>
            </w:r>
            <w:proofErr w:type="spellEnd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ные</w:t>
            </w:r>
            <w:proofErr w:type="spellEnd"/>
            <w:proofErr w:type="gramEnd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источники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FD626C">
        <w:trPr>
          <w:trHeight w:val="41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CF2D0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1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Проведение оценки соответствия планов закупки товаров, работ, услуг, планов инновационной продукции, высокотехнологичной продукции, лекарственных средств, изменений, внесенных в такие планы, требованиям 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законодательства Российской Федерации, предусматривающим участие субъектов малого и среднего предпринимательства в закупке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Итого</w:t>
            </w:r>
          </w:p>
        </w:tc>
        <w:tc>
          <w:tcPr>
            <w:tcW w:w="211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024A2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Обеспечение законодательно установленного объема закупок инновационной и высокотехнологичной продукции, а также закупок у субъектов </w:t>
            </w: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>малого и среднего предпринимательства. Выявление, устранение и предупреждение нарушений и недоработок в сфере закупочной деятельности.</w:t>
            </w: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Московской области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FD626C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FD626C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FD626C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Основное мероприятие </w:t>
            </w:r>
            <w:r w:rsidR="00024A29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Реализация комплекса мер по содействию развитию конкуренции</w:t>
            </w:r>
            <w:r w:rsidRPr="00404EF4">
              <w:rPr>
                <w:rFonts w:cs="Times New Roman"/>
                <w:sz w:val="16"/>
                <w:szCs w:val="18"/>
              </w:rPr>
              <w:t xml:space="preserve">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6C65F9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</w:rPr>
              <w:t>Количество реализованных требований Стандарта развития конкуренции в муниципальном образовании Московской области в 2024 году составит 5 единиц</w:t>
            </w: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FD626C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FD626C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FD626C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1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Формирование и изменение перечня рынков для содействия развитию конкуренции в городском округе Домодедово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024A29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Актуализация перечня рынков для содействия развитию конкуренции.</w:t>
            </w: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.2.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Мероприятие  2 </w:t>
            </w:r>
          </w:p>
          <w:p w:rsidR="00991E69" w:rsidRPr="00404EF4" w:rsidRDefault="00991E69" w:rsidP="00CF2D0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Разработка и корректировка плана мероприятий («дорожной карты») по содействию развитию конкуренции в городском округе Домодедово 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Финансирование мероприятий осуществляется в рамках финансового обеспечения </w:t>
            </w: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024A29" w:rsidP="00024A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Определение необходимых процессов для реализации требований по развитию конкуренции, их последовательности и приоритетности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.3</w:t>
            </w:r>
          </w:p>
        </w:tc>
        <w:tc>
          <w:tcPr>
            <w:tcW w:w="941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Мероприятие 3 </w:t>
            </w:r>
          </w:p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Проведение мониторинга состояния и развития конкурентной среды на рынках товаров, работ и услуг на территории городского округа Домодедово и анализ его результатов</w:t>
            </w:r>
          </w:p>
        </w:tc>
        <w:tc>
          <w:tcPr>
            <w:tcW w:w="396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7" w:type="pct"/>
            <w:gridSpan w:val="6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024A29" w:rsidRPr="00024A29" w:rsidRDefault="00024A29" w:rsidP="00024A29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Формирование главных показателей для анализа деятельности по развитию конкуренции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075B6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.4.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Мероприятие 4 </w:t>
            </w:r>
          </w:p>
          <w:p w:rsidR="00991E69" w:rsidRPr="00404EF4" w:rsidRDefault="00991E69" w:rsidP="00CF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Подготовка ежегодного доклада «Информационный доклад о внедрении стандарта развития конкуренции на территории городского округа Домодедово»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1878B2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878B2">
              <w:rPr>
                <w:rFonts w:ascii="Times New Roman" w:eastAsia="Times New Roman" w:hAnsi="Times New Roman" w:cs="Times New Roman"/>
                <w:sz w:val="16"/>
                <w:szCs w:val="18"/>
              </w:rPr>
              <w:t>Формирование и представление доклада в уполномоченный орган в сфере закупок Московской области. Публикация доклада на официальном сайте городского округа Домодедово.</w:t>
            </w: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.5.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5</w:t>
            </w:r>
          </w:p>
          <w:p w:rsidR="00991E69" w:rsidRPr="00404EF4" w:rsidRDefault="00991E69" w:rsidP="00CF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Информирование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1878B2" w:rsidP="001878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878B2">
              <w:rPr>
                <w:rFonts w:ascii="Times New Roman" w:eastAsia="Times New Roman" w:hAnsi="Times New Roman" w:cs="Times New Roman"/>
                <w:sz w:val="16"/>
                <w:szCs w:val="18"/>
              </w:rPr>
              <w:t>Освещение в средствах массовой информации и сети Интернет процессов развития конкурентной среды в городском округе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FD626C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proofErr w:type="gramStart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</w:t>
            </w:r>
            <w:proofErr w:type="spellEnd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ные</w:t>
            </w:r>
            <w:proofErr w:type="spellEnd"/>
            <w:proofErr w:type="gramEnd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источники</w:t>
            </w:r>
          </w:p>
        </w:tc>
        <w:tc>
          <w:tcPr>
            <w:tcW w:w="2112" w:type="pct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494F35">
        <w:trPr>
          <w:trHeight w:val="212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7B00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>Подпрограмма III «Развитие малого и среднего предпринимательства»</w:t>
            </w:r>
          </w:p>
        </w:tc>
      </w:tr>
      <w:tr w:rsidR="00991E69" w:rsidRPr="00404EF4" w:rsidTr="009847D8">
        <w:trPr>
          <w:trHeight w:val="391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Основное мероприятие 2 </w:t>
            </w:r>
          </w:p>
          <w:p w:rsidR="00991E69" w:rsidRPr="00404EF4" w:rsidRDefault="00991E69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Реализация механизмов муниципальной поддержки субъектов малого и среднего предпринимательства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br/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500,00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5000,00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1000,00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1000,00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1000,00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1000,0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1000,00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 27,60% к 2024 году. Число субъектов МСП в расчете на 10 тыс. человек населения 679,54 единиц к 2024 году. Малый бизнес большого региона. Прирост количества субъектов малого и среднего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>предпринимательства на 10 тыс. населения 115,11 единиц к 2024 году.</w:t>
            </w:r>
          </w:p>
        </w:tc>
      </w:tr>
      <w:tr w:rsidR="00991E69" w:rsidRPr="00404EF4" w:rsidTr="00FD626C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FD626C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FD626C">
        <w:trPr>
          <w:trHeight w:val="89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1000,0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1000,0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1000,0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1000,0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1000,0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FD626C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9847D8">
        <w:trPr>
          <w:trHeight w:val="34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18"/>
              </w:rPr>
              <w:t>Мероприятие 1</w:t>
            </w:r>
          </w:p>
          <w:p w:rsidR="00991E69" w:rsidRPr="00404EF4" w:rsidRDefault="00991E69" w:rsidP="007B0037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Частичная компенсация субъектам малого и среднего предпринимательства затрат 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на уплату первого взноса (аванса) при заключении договора лизинга.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FD626C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FD626C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FD626C">
        <w:trPr>
          <w:trHeight w:val="89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FD626C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374718" w:rsidRPr="00404EF4" w:rsidTr="00FD626C">
        <w:trPr>
          <w:trHeight w:val="287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718" w:rsidRPr="00A2458F" w:rsidRDefault="00374718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1.2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18"/>
              </w:rPr>
              <w:t>Мероприятие 2</w:t>
            </w:r>
          </w:p>
          <w:p w:rsidR="00374718" w:rsidRPr="00404EF4" w:rsidRDefault="00374718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500</w:t>
            </w:r>
            <w:r w:rsidR="00A2458F" w:rsidRPr="00404EF4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3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5000</w:t>
            </w:r>
            <w:r w:rsidR="00A2458F" w:rsidRPr="00404EF4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1000</w:t>
            </w:r>
            <w:r w:rsidR="00A2458F" w:rsidRPr="00404EF4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1000</w:t>
            </w:r>
            <w:r w:rsidR="00A2458F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,00</w:t>
            </w:r>
          </w:p>
        </w:tc>
        <w:tc>
          <w:tcPr>
            <w:tcW w:w="3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1000</w:t>
            </w:r>
            <w:r w:rsidR="00A2458F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,00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1000</w:t>
            </w:r>
            <w:r w:rsidR="00A2458F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,00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1000</w:t>
            </w:r>
            <w:r w:rsidR="00A2458F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,00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718" w:rsidRPr="00404EF4" w:rsidRDefault="00374718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718" w:rsidRPr="00404EF4" w:rsidRDefault="00374718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FD626C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FD626C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FD626C">
        <w:trPr>
          <w:trHeight w:val="89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</w:t>
            </w:r>
            <w:r w:rsidR="00A2458F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,00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374718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</w:t>
            </w:r>
            <w:r w:rsidR="00991E69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00</w:t>
            </w:r>
            <w:r w:rsidR="00A2458F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,00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374718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1000</w:t>
            </w:r>
            <w:r w:rsidR="00A2458F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374718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10</w:t>
            </w:r>
            <w:r w:rsidR="00991E69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00</w:t>
            </w:r>
            <w:r w:rsidR="00A2458F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,00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374718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10</w:t>
            </w:r>
            <w:r w:rsidR="00991E69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00</w:t>
            </w:r>
            <w:r w:rsidR="00A2458F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,00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374718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10</w:t>
            </w:r>
            <w:r w:rsidR="00991E69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00</w:t>
            </w:r>
            <w:r w:rsidR="00A2458F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,00</w:t>
            </w:r>
          </w:p>
        </w:tc>
        <w:tc>
          <w:tcPr>
            <w:tcW w:w="3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374718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10</w:t>
            </w:r>
            <w:r w:rsidR="00991E69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00</w:t>
            </w:r>
            <w:r w:rsidR="00A2458F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FD626C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Внебюджетные источники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FD626C">
        <w:trPr>
          <w:trHeight w:val="479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1.3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18"/>
              </w:rPr>
              <w:t>Мероприятие 3</w:t>
            </w: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</w:t>
            </w:r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ремесленничество.</w:t>
            </w:r>
            <w:proofErr w:type="gramEnd"/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ab/>
              <w:t>Итого</w:t>
            </w:r>
          </w:p>
        </w:tc>
        <w:tc>
          <w:tcPr>
            <w:tcW w:w="2112" w:type="pct"/>
            <w:gridSpan w:val="3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 xml:space="preserve">Отдел инвестиций и предпринимательства комитета по экономике администрации 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городского округа Домодедово</w:t>
            </w:r>
          </w:p>
        </w:tc>
        <w:tc>
          <w:tcPr>
            <w:tcW w:w="597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FD626C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Средства федерального бюджета 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FD626C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Средства бюджета Московской области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FD626C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FD626C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Внебюджетные источники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9847D8">
        <w:trPr>
          <w:trHeight w:val="273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Основное мероприятие  </w:t>
            </w: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I</w:t>
            </w: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8</w:t>
            </w: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 проект «Популяризация предпринимательства».</w:t>
            </w:r>
          </w:p>
          <w:p w:rsidR="00991E69" w:rsidRPr="00404EF4" w:rsidRDefault="00991E69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Итого</w:t>
            </w:r>
          </w:p>
        </w:tc>
        <w:tc>
          <w:tcPr>
            <w:tcW w:w="211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Число вновь созданных предприятий МСП в сфере производства или услуг 290 к 2024 году.  Количество вновь созданных субъектов МСП участниками проекта 0,009 тыс. единиц. Численность занятых в сфере малого и среднего предпринимательства, включая индивидуальных предпринимателей за отчетный период (прошедший год) 42 184 человек к 2024 году.</w:t>
            </w:r>
          </w:p>
        </w:tc>
      </w:tr>
      <w:tr w:rsidR="00991E69" w:rsidRPr="00404EF4" w:rsidTr="00FD626C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FD626C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9847D8">
        <w:trPr>
          <w:trHeight w:val="78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FD626C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9847D8">
        <w:trPr>
          <w:trHeight w:val="305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2.1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Мероприятие 1 </w:t>
            </w:r>
          </w:p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Реализация мероприятий по популяризации малого и среднего предпринимательства</w:t>
            </w: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2" w:type="pct"/>
            <w:gridSpan w:val="3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Отдел инвестиций и предпринимательства комитета по экономике 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администрации городского округа Домодедово</w:t>
            </w:r>
          </w:p>
        </w:tc>
        <w:tc>
          <w:tcPr>
            <w:tcW w:w="597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FD626C">
        <w:trPr>
          <w:trHeight w:val="74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FD626C">
        <w:trPr>
          <w:trHeight w:val="74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FD626C">
        <w:trPr>
          <w:trHeight w:val="109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9847D8">
        <w:trPr>
          <w:trHeight w:val="72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2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494F35">
        <w:trPr>
          <w:trHeight w:val="33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45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eastAsia="ru-RU"/>
              </w:rPr>
              <w:t xml:space="preserve">Подпрограмма </w:t>
            </w: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val="en-US" w:eastAsia="ru-RU"/>
              </w:rPr>
              <w:t>IV</w:t>
            </w: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eastAsia="ru-RU"/>
              </w:rPr>
              <w:t xml:space="preserve"> «Развитие потребительского рынка и услуг на территории городского округа Домодедово»</w:t>
            </w:r>
          </w:p>
        </w:tc>
      </w:tr>
      <w:tr w:rsidR="00991E69" w:rsidRPr="00404EF4" w:rsidTr="00D57CC8">
        <w:trPr>
          <w:trHeight w:val="518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Основное мероприятие 1.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Развитие потребительского рынка и услуг на территории муниципального образования Московской области</w:t>
            </w:r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736,6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highlight w:val="yellow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15813,42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3010,1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3034,6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3256,24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3256,24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3256,24</w:t>
            </w:r>
          </w:p>
        </w:tc>
        <w:tc>
          <w:tcPr>
            <w:tcW w:w="50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E43FA0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Увеличение обеспеченности населения площадью торговых объектов составит  1111,1 </w:t>
            </w:r>
            <w:proofErr w:type="spellStart"/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кв</w:t>
            </w:r>
            <w:proofErr w:type="gramStart"/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.м</w:t>
            </w:r>
            <w:proofErr w:type="spellEnd"/>
            <w:proofErr w:type="gramEnd"/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на 1000 жителей к 2024 году.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площадей торговых объектов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4,6 к 2024 году.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незаконных нестационарных торговых объектов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составит 1200 к 2024 году.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составит 70% к 2024 году</w:t>
            </w:r>
          </w:p>
        </w:tc>
      </w:tr>
      <w:tr w:rsidR="00991E69" w:rsidRPr="00404EF4" w:rsidTr="00FD626C">
        <w:trPr>
          <w:trHeight w:val="96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E69" w:rsidRPr="00404EF4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5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FD626C">
        <w:trPr>
          <w:trHeight w:val="12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478,0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10115,42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1914,10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1990,60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2070,24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2070,24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2070,24</w:t>
            </w:r>
          </w:p>
        </w:tc>
        <w:tc>
          <w:tcPr>
            <w:tcW w:w="5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FD626C">
        <w:trPr>
          <w:trHeight w:val="152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Домодедово   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258,60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5698,00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1096,00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1044,00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1186,00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1186,00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1186,00</w:t>
            </w:r>
          </w:p>
        </w:tc>
        <w:tc>
          <w:tcPr>
            <w:tcW w:w="5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FD626C">
        <w:trPr>
          <w:trHeight w:val="82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7F76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5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9847D8">
        <w:trPr>
          <w:trHeight w:val="331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lastRenderedPageBreak/>
              <w:t>1.1.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1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Содействие вводу (строительству) новых современных объектов потребительского рынка и услуг</w:t>
            </w:r>
          </w:p>
        </w:tc>
        <w:tc>
          <w:tcPr>
            <w:tcW w:w="41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2098" w:type="pct"/>
            <w:gridSpan w:val="2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 пределах  средств, предусмотренных на основную деятельность исполнителей</w:t>
            </w:r>
          </w:p>
        </w:tc>
        <w:tc>
          <w:tcPr>
            <w:tcW w:w="499" w:type="pct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5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Развитие современного формата объектов потребительского рынка и услуг. Увеличение обеспеченности населения площадью торговых объектов составит  1111,1 </w:t>
            </w:r>
            <w:proofErr w:type="spell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кв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.м</w:t>
            </w:r>
            <w:proofErr w:type="spellEnd"/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на 1000 жителей к 2024 году.</w:t>
            </w:r>
          </w:p>
        </w:tc>
      </w:tr>
      <w:tr w:rsidR="00991E69" w:rsidRPr="00404EF4" w:rsidTr="00A2458F">
        <w:trPr>
          <w:trHeight w:val="52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098" w:type="pct"/>
            <w:gridSpan w:val="2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9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5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A2458F">
        <w:trPr>
          <w:trHeight w:val="56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098" w:type="pct"/>
            <w:gridSpan w:val="2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9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5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A2458F">
        <w:trPr>
          <w:trHeight w:val="79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Домодедово   </w:t>
            </w:r>
          </w:p>
        </w:tc>
        <w:tc>
          <w:tcPr>
            <w:tcW w:w="2098" w:type="pct"/>
            <w:gridSpan w:val="29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9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5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A2458F">
        <w:trPr>
          <w:trHeight w:val="67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098" w:type="pct"/>
            <w:gridSpan w:val="2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9" w:type="pct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5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847D8" w:rsidRPr="00404EF4" w:rsidTr="00D36482">
        <w:trPr>
          <w:trHeight w:val="423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D8" w:rsidRPr="00A2458F" w:rsidRDefault="009847D8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1.2.</w:t>
            </w:r>
          </w:p>
        </w:tc>
        <w:tc>
          <w:tcPr>
            <w:tcW w:w="94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847D8" w:rsidRPr="00404EF4" w:rsidRDefault="009847D8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2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41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47D8" w:rsidRPr="00404EF4" w:rsidRDefault="009847D8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7D8" w:rsidRPr="00404EF4" w:rsidRDefault="009847D8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2098" w:type="pct"/>
            <w:gridSpan w:val="2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7D8" w:rsidRPr="00404EF4" w:rsidRDefault="009847D8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8" w:type="pct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847D8" w:rsidRPr="00404EF4" w:rsidRDefault="009847D8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847D8" w:rsidRPr="00404EF4" w:rsidRDefault="009847D8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Возможность малым предприятиям реализовать свой товар, обеспечение потребителя свежей продукцией местных производителей</w:t>
            </w:r>
          </w:p>
        </w:tc>
      </w:tr>
      <w:tr w:rsidR="009847D8" w:rsidRPr="00404EF4" w:rsidTr="00D36482">
        <w:trPr>
          <w:trHeight w:val="1898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D8" w:rsidRPr="00A2458F" w:rsidRDefault="009847D8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D8" w:rsidRPr="00404EF4" w:rsidRDefault="009847D8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D8" w:rsidRPr="009847D8" w:rsidRDefault="009847D8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7D8" w:rsidRPr="00404EF4" w:rsidRDefault="009847D8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Домодедово   </w:t>
            </w:r>
          </w:p>
        </w:tc>
        <w:tc>
          <w:tcPr>
            <w:tcW w:w="2098" w:type="pct"/>
            <w:gridSpan w:val="2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7D8" w:rsidRPr="00404EF4" w:rsidRDefault="009847D8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08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D8" w:rsidRPr="00404EF4" w:rsidRDefault="009847D8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7D8" w:rsidRPr="00404EF4" w:rsidRDefault="009847D8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9847D8">
        <w:trPr>
          <w:trHeight w:val="1971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lastRenderedPageBreak/>
              <w:t>1.3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3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Организация и проведение «социальных»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Домодедово   </w:t>
            </w:r>
          </w:p>
        </w:tc>
        <w:tc>
          <w:tcPr>
            <w:tcW w:w="2098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Поддержка граждан, находящихся в трудной жизненной ситуации</w:t>
            </w:r>
          </w:p>
        </w:tc>
      </w:tr>
      <w:tr w:rsidR="00991E69" w:rsidRPr="00404EF4" w:rsidTr="00D57CC8">
        <w:trPr>
          <w:trHeight w:val="71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1.4</w:t>
            </w:r>
          </w:p>
        </w:tc>
        <w:tc>
          <w:tcPr>
            <w:tcW w:w="9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4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муниципального образования Московской области</w:t>
            </w:r>
          </w:p>
        </w:tc>
        <w:tc>
          <w:tcPr>
            <w:tcW w:w="4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736,6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EA6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highlight w:val="yellow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15813,42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3010,1</w:t>
            </w:r>
          </w:p>
        </w:tc>
        <w:tc>
          <w:tcPr>
            <w:tcW w:w="2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3034,6</w:t>
            </w:r>
          </w:p>
        </w:tc>
        <w:tc>
          <w:tcPr>
            <w:tcW w:w="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3256,24</w:t>
            </w: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3256,24</w:t>
            </w:r>
          </w:p>
        </w:tc>
        <w:tc>
          <w:tcPr>
            <w:tcW w:w="3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3256,24</w:t>
            </w:r>
          </w:p>
        </w:tc>
        <w:tc>
          <w:tcPr>
            <w:tcW w:w="508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ind w:left="-4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 к 2024 году составит 70 процентов. Таки образом создаются </w:t>
            </w:r>
            <w:proofErr w:type="spell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условаия</w:t>
            </w:r>
            <w:proofErr w:type="spell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для обеспечения жителей таких территорий товарами и услугами в необходимом ассортименте</w:t>
            </w:r>
          </w:p>
        </w:tc>
      </w:tr>
      <w:tr w:rsidR="00991E69" w:rsidRPr="00404EF4" w:rsidTr="00FD626C">
        <w:trPr>
          <w:trHeight w:val="12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0D257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3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508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91E69" w:rsidRPr="00404EF4" w:rsidTr="00FD626C">
        <w:trPr>
          <w:trHeight w:val="12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478,0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EA6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10115,42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1914,10</w:t>
            </w:r>
          </w:p>
        </w:tc>
        <w:tc>
          <w:tcPr>
            <w:tcW w:w="2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1990,60</w:t>
            </w:r>
          </w:p>
        </w:tc>
        <w:tc>
          <w:tcPr>
            <w:tcW w:w="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2070,24</w:t>
            </w: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2070,24</w:t>
            </w:r>
          </w:p>
        </w:tc>
        <w:tc>
          <w:tcPr>
            <w:tcW w:w="3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2070,24</w:t>
            </w:r>
          </w:p>
        </w:tc>
        <w:tc>
          <w:tcPr>
            <w:tcW w:w="508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91E69" w:rsidRPr="00404EF4" w:rsidTr="00FD626C">
        <w:trPr>
          <w:trHeight w:val="1525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Домодедово  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258,6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5698,00</w:t>
            </w:r>
          </w:p>
        </w:tc>
        <w:tc>
          <w:tcPr>
            <w:tcW w:w="26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1096,00</w:t>
            </w:r>
          </w:p>
        </w:tc>
        <w:tc>
          <w:tcPr>
            <w:tcW w:w="2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1044,00</w:t>
            </w:r>
          </w:p>
        </w:tc>
        <w:tc>
          <w:tcPr>
            <w:tcW w:w="29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1186,00</w:t>
            </w:r>
          </w:p>
        </w:tc>
        <w:tc>
          <w:tcPr>
            <w:tcW w:w="3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1186,00</w:t>
            </w:r>
          </w:p>
        </w:tc>
        <w:tc>
          <w:tcPr>
            <w:tcW w:w="3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1186,00</w:t>
            </w:r>
          </w:p>
        </w:tc>
        <w:tc>
          <w:tcPr>
            <w:tcW w:w="508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91E69" w:rsidRPr="00404EF4" w:rsidTr="009847D8">
        <w:trPr>
          <w:trHeight w:val="381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lastRenderedPageBreak/>
              <w:t>1.5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5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098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Размещение нестационарных торговых объектов в соответствии с законодательством Российской Федерации  и законодательством Московской области с целью повышения доступности товаров и услуг для потребителей. Ликвидация незаконных нестационарных объектов.</w:t>
            </w:r>
          </w:p>
        </w:tc>
      </w:tr>
      <w:tr w:rsidR="00991E69" w:rsidRPr="00404EF4" w:rsidTr="00A2458F">
        <w:trPr>
          <w:trHeight w:val="1387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20"/>
                <w:lang w:eastAsia="ru-RU"/>
              </w:rPr>
              <w:t>Основное мероприятие 2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Развитие сферы общественного питания на территории муниципального образования Московской области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098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69" w:rsidRPr="00404EF4" w:rsidRDefault="00E43FA0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Прирост посадочных мест на объектах общественного питания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 2024 году составит 95 посадочных мест</w:t>
            </w:r>
          </w:p>
        </w:tc>
      </w:tr>
      <w:tr w:rsidR="00991E69" w:rsidRPr="00404EF4" w:rsidTr="009847D8">
        <w:trPr>
          <w:trHeight w:val="1619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Мероприятие 1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098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Развитие сети предприятий общественного питания на территории городского округа Домодедово</w:t>
            </w:r>
          </w:p>
        </w:tc>
      </w:tr>
      <w:tr w:rsidR="00991E69" w:rsidRPr="00404EF4" w:rsidTr="009847D8">
        <w:trPr>
          <w:trHeight w:val="1451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20"/>
                <w:lang w:eastAsia="ru-RU"/>
              </w:rPr>
              <w:t>Основное мероприятие  3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iCs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098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E43FA0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Прирост рабочих мест на объектах бытового обслуживания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 2024 году 37 рабочих места</w:t>
            </w:r>
          </w:p>
        </w:tc>
      </w:tr>
      <w:tr w:rsidR="00991E69" w:rsidRPr="00404EF4" w:rsidTr="00E43FA0">
        <w:trPr>
          <w:trHeight w:val="1829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1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Содействие увеличению уровня 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обеспеченности населения муниципального образования Московской области Московской области</w:t>
            </w:r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предприятиями бытового обслуживания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098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Развитие сети предприятий бытового обслуживания на территории городского округа Домодедово</w:t>
            </w:r>
          </w:p>
        </w:tc>
      </w:tr>
      <w:tr w:rsidR="00991E69" w:rsidRPr="00404EF4" w:rsidTr="00A2458F">
        <w:trPr>
          <w:trHeight w:val="1576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lastRenderedPageBreak/>
              <w:t>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20"/>
                <w:lang w:eastAsia="ru-RU"/>
              </w:rPr>
              <w:t>Основное мероприятие  5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iCs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098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E69" w:rsidRPr="00404EF4" w:rsidRDefault="00E43FA0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847D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Доля обращений по вопросу защиты прав потребителей от общего количества поступивших обращений составит 2,5% в 2024 году</w:t>
            </w:r>
          </w:p>
        </w:tc>
      </w:tr>
      <w:tr w:rsidR="00991E69" w:rsidRPr="00404EF4" w:rsidTr="009847D8">
        <w:trPr>
          <w:trHeight w:val="1369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1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Рассмотрение обращений и жалоб, консультация граждан  по вопросам защиты прав потребителей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098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E43FA0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Снижение уровня неудовлетворенности населения качеством реализуемых товаров</w:t>
            </w:r>
          </w:p>
        </w:tc>
      </w:tr>
      <w:tr w:rsidR="00991E69" w:rsidRPr="00404EF4" w:rsidTr="00A2458F">
        <w:trPr>
          <w:trHeight w:val="154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Мероприятие 2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Обращения в суды по вопросу защиты прав потребителей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098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Минимизация обращений в суды по вопросу защиты прав потребителей. Устранение нарушений Закона Российской Федерации от 07.02.1992 № 2300-1 "О защите прав потребителей" в досудебном порядке </w:t>
            </w:r>
          </w:p>
        </w:tc>
      </w:tr>
      <w:tr w:rsidR="00991E69" w:rsidTr="000975B2">
        <w:tblPrEx>
          <w:tblBorders>
            <w:top w:val="single" w:sz="4" w:space="0" w:color="FFFFFF" w:themeColor="background1"/>
          </w:tblBorders>
          <w:tblLook w:val="0000" w:firstRow="0" w:lastRow="0" w:firstColumn="0" w:lastColumn="0" w:noHBand="0" w:noVBand="0"/>
        </w:tblPrEx>
        <w:trPr>
          <w:gridBefore w:val="36"/>
          <w:wBefore w:w="4076" w:type="pct"/>
          <w:trHeight w:val="100"/>
        </w:trPr>
        <w:tc>
          <w:tcPr>
            <w:tcW w:w="924" w:type="pct"/>
            <w:gridSpan w:val="7"/>
          </w:tcPr>
          <w:p w:rsidR="00991E69" w:rsidRDefault="00991E69" w:rsidP="005170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A0EBE" w:rsidRPr="00BA0EBE" w:rsidRDefault="00BA0EBE" w:rsidP="00D230DE">
      <w:pPr>
        <w:rPr>
          <w:rFonts w:ascii="Times New Roman" w:hAnsi="Times New Roman" w:cs="Times New Roman"/>
          <w:b/>
          <w:sz w:val="24"/>
        </w:rPr>
      </w:pPr>
    </w:p>
    <w:sectPr w:rsidR="00BA0EBE" w:rsidRPr="00BA0EBE" w:rsidSect="005B585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52B7"/>
    <w:multiLevelType w:val="hybridMultilevel"/>
    <w:tmpl w:val="D6922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BE74D7"/>
    <w:multiLevelType w:val="hybridMultilevel"/>
    <w:tmpl w:val="34CCE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336A9"/>
    <w:multiLevelType w:val="hybridMultilevel"/>
    <w:tmpl w:val="95729C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F0179"/>
    <w:multiLevelType w:val="hybridMultilevel"/>
    <w:tmpl w:val="7B8E86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A449B6"/>
    <w:multiLevelType w:val="hybridMultilevel"/>
    <w:tmpl w:val="732E0D4A"/>
    <w:lvl w:ilvl="0" w:tplc="E8FA4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4A2B73"/>
    <w:multiLevelType w:val="hybridMultilevel"/>
    <w:tmpl w:val="47EA36F0"/>
    <w:lvl w:ilvl="0" w:tplc="1E52A194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57"/>
    <w:rsid w:val="00024A29"/>
    <w:rsid w:val="000710F9"/>
    <w:rsid w:val="00075B6F"/>
    <w:rsid w:val="00084752"/>
    <w:rsid w:val="000975B2"/>
    <w:rsid w:val="000D2575"/>
    <w:rsid w:val="000F2857"/>
    <w:rsid w:val="000F2BD6"/>
    <w:rsid w:val="001076F1"/>
    <w:rsid w:val="00112C00"/>
    <w:rsid w:val="00113D88"/>
    <w:rsid w:val="00137A43"/>
    <w:rsid w:val="00153CC5"/>
    <w:rsid w:val="001878B2"/>
    <w:rsid w:val="001C574B"/>
    <w:rsid w:val="00241A1F"/>
    <w:rsid w:val="00260DD1"/>
    <w:rsid w:val="002847A0"/>
    <w:rsid w:val="002C4C70"/>
    <w:rsid w:val="003076E3"/>
    <w:rsid w:val="0031074A"/>
    <w:rsid w:val="00311FA4"/>
    <w:rsid w:val="00316760"/>
    <w:rsid w:val="00332909"/>
    <w:rsid w:val="0034153B"/>
    <w:rsid w:val="00362688"/>
    <w:rsid w:val="00374718"/>
    <w:rsid w:val="003E694E"/>
    <w:rsid w:val="00404EF4"/>
    <w:rsid w:val="00417D6F"/>
    <w:rsid w:val="00465EE6"/>
    <w:rsid w:val="0048121F"/>
    <w:rsid w:val="00494F35"/>
    <w:rsid w:val="004A3961"/>
    <w:rsid w:val="004B6ED4"/>
    <w:rsid w:val="004D4C7C"/>
    <w:rsid w:val="004E36D5"/>
    <w:rsid w:val="00504ACF"/>
    <w:rsid w:val="005170F9"/>
    <w:rsid w:val="00520E76"/>
    <w:rsid w:val="005217E6"/>
    <w:rsid w:val="00532B41"/>
    <w:rsid w:val="00546BA4"/>
    <w:rsid w:val="00555102"/>
    <w:rsid w:val="00594AE6"/>
    <w:rsid w:val="005B34BB"/>
    <w:rsid w:val="005B5859"/>
    <w:rsid w:val="005B5C73"/>
    <w:rsid w:val="005C5B5E"/>
    <w:rsid w:val="005D3AB0"/>
    <w:rsid w:val="005F2772"/>
    <w:rsid w:val="006311A5"/>
    <w:rsid w:val="006701B7"/>
    <w:rsid w:val="006A01BF"/>
    <w:rsid w:val="006C65F9"/>
    <w:rsid w:val="00703592"/>
    <w:rsid w:val="0070460C"/>
    <w:rsid w:val="00762FB2"/>
    <w:rsid w:val="00765868"/>
    <w:rsid w:val="00775158"/>
    <w:rsid w:val="007B0037"/>
    <w:rsid w:val="007B4EC4"/>
    <w:rsid w:val="007B66B1"/>
    <w:rsid w:val="007C4634"/>
    <w:rsid w:val="007F7622"/>
    <w:rsid w:val="008248F9"/>
    <w:rsid w:val="00830306"/>
    <w:rsid w:val="00831A79"/>
    <w:rsid w:val="00874D72"/>
    <w:rsid w:val="008C4765"/>
    <w:rsid w:val="0090455D"/>
    <w:rsid w:val="009847D8"/>
    <w:rsid w:val="00991E69"/>
    <w:rsid w:val="00A2458F"/>
    <w:rsid w:val="00A43C7B"/>
    <w:rsid w:val="00A94D1C"/>
    <w:rsid w:val="00AA29AC"/>
    <w:rsid w:val="00B0162D"/>
    <w:rsid w:val="00B03650"/>
    <w:rsid w:val="00B426B7"/>
    <w:rsid w:val="00BA0EBE"/>
    <w:rsid w:val="00BF75C6"/>
    <w:rsid w:val="00C57A2C"/>
    <w:rsid w:val="00CA2088"/>
    <w:rsid w:val="00CD2853"/>
    <w:rsid w:val="00CD7F33"/>
    <w:rsid w:val="00CF2D02"/>
    <w:rsid w:val="00D11152"/>
    <w:rsid w:val="00D230DE"/>
    <w:rsid w:val="00D50293"/>
    <w:rsid w:val="00D55A3A"/>
    <w:rsid w:val="00D57CC8"/>
    <w:rsid w:val="00D81EF6"/>
    <w:rsid w:val="00D90BC3"/>
    <w:rsid w:val="00DE62A9"/>
    <w:rsid w:val="00DF77CC"/>
    <w:rsid w:val="00E06737"/>
    <w:rsid w:val="00E170A4"/>
    <w:rsid w:val="00E337D2"/>
    <w:rsid w:val="00E43FA0"/>
    <w:rsid w:val="00EA5187"/>
    <w:rsid w:val="00EA64FA"/>
    <w:rsid w:val="00EE564A"/>
    <w:rsid w:val="00F37D63"/>
    <w:rsid w:val="00FA67FF"/>
    <w:rsid w:val="00FC041F"/>
    <w:rsid w:val="00FD626C"/>
    <w:rsid w:val="00FE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BE"/>
  </w:style>
  <w:style w:type="paragraph" w:styleId="3">
    <w:name w:val="heading 3"/>
    <w:basedOn w:val="a"/>
    <w:link w:val="30"/>
    <w:uiPriority w:val="9"/>
    <w:qFormat/>
    <w:rsid w:val="00670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A0E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A0EB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A0E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BA0EB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BA0EBE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A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0E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A0EBE"/>
  </w:style>
  <w:style w:type="table" w:customStyle="1" w:styleId="10">
    <w:name w:val="Сетка таблицы1"/>
    <w:basedOn w:val="a1"/>
    <w:next w:val="a3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BA0EBE"/>
    <w:rPr>
      <w:color w:val="808080"/>
    </w:rPr>
  </w:style>
  <w:style w:type="character" w:styleId="ae">
    <w:name w:val="Hyperlink"/>
    <w:basedOn w:val="a0"/>
    <w:uiPriority w:val="99"/>
    <w:unhideWhenUsed/>
    <w:rsid w:val="00BA0EBE"/>
    <w:rPr>
      <w:color w:val="0000FF" w:themeColor="hyperlink"/>
      <w:u w:val="single"/>
    </w:rPr>
  </w:style>
  <w:style w:type="paragraph" w:customStyle="1" w:styleId="ConsPlusCell">
    <w:name w:val="ConsPlusCell"/>
    <w:rsid w:val="00BA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A0EBE"/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Без интервала Знак"/>
    <w:link w:val="af0"/>
    <w:uiPriority w:val="1"/>
    <w:locked/>
    <w:rsid w:val="00BA0EBE"/>
    <w:rPr>
      <w:rFonts w:ascii="Calibri" w:eastAsia="Calibri" w:hAnsi="Calibri" w:cs="Times New Roman"/>
    </w:rPr>
  </w:style>
  <w:style w:type="paragraph" w:styleId="af0">
    <w:name w:val="No Spacing"/>
    <w:link w:val="af"/>
    <w:uiPriority w:val="1"/>
    <w:qFormat/>
    <w:rsid w:val="00BA0EBE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A0E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701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BE"/>
  </w:style>
  <w:style w:type="paragraph" w:styleId="3">
    <w:name w:val="heading 3"/>
    <w:basedOn w:val="a"/>
    <w:link w:val="30"/>
    <w:uiPriority w:val="9"/>
    <w:qFormat/>
    <w:rsid w:val="00670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A0E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A0EB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A0E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BA0EB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BA0EBE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A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0E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A0EBE"/>
  </w:style>
  <w:style w:type="table" w:customStyle="1" w:styleId="10">
    <w:name w:val="Сетка таблицы1"/>
    <w:basedOn w:val="a1"/>
    <w:next w:val="a3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BA0EBE"/>
    <w:rPr>
      <w:color w:val="808080"/>
    </w:rPr>
  </w:style>
  <w:style w:type="character" w:styleId="ae">
    <w:name w:val="Hyperlink"/>
    <w:basedOn w:val="a0"/>
    <w:uiPriority w:val="99"/>
    <w:unhideWhenUsed/>
    <w:rsid w:val="00BA0EBE"/>
    <w:rPr>
      <w:color w:val="0000FF" w:themeColor="hyperlink"/>
      <w:u w:val="single"/>
    </w:rPr>
  </w:style>
  <w:style w:type="paragraph" w:customStyle="1" w:styleId="ConsPlusCell">
    <w:name w:val="ConsPlusCell"/>
    <w:rsid w:val="00BA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A0EBE"/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Без интервала Знак"/>
    <w:link w:val="af0"/>
    <w:uiPriority w:val="1"/>
    <w:locked/>
    <w:rsid w:val="00BA0EBE"/>
    <w:rPr>
      <w:rFonts w:ascii="Calibri" w:eastAsia="Calibri" w:hAnsi="Calibri" w:cs="Times New Roman"/>
    </w:rPr>
  </w:style>
  <w:style w:type="paragraph" w:styleId="af0">
    <w:name w:val="No Spacing"/>
    <w:link w:val="af"/>
    <w:uiPriority w:val="1"/>
    <w:qFormat/>
    <w:rsid w:val="00BA0EBE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A0E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701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4057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Воронова Л.Н.</cp:lastModifiedBy>
  <cp:revision>2</cp:revision>
  <cp:lastPrinted>2019-11-12T15:16:00Z</cp:lastPrinted>
  <dcterms:created xsi:type="dcterms:W3CDTF">2019-11-28T11:10:00Z</dcterms:created>
  <dcterms:modified xsi:type="dcterms:W3CDTF">2019-11-28T11:10:00Z</dcterms:modified>
</cp:coreProperties>
</file>