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10" w:rsidRPr="0087789A" w:rsidRDefault="00B52310" w:rsidP="00B52310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sz w:val="20"/>
        </w:rPr>
      </w:pPr>
      <w:r w:rsidRPr="0087789A">
        <w:rPr>
          <w:sz w:val="20"/>
        </w:rPr>
        <w:t>Приложение</w:t>
      </w:r>
    </w:p>
    <w:p w:rsidR="00B52310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к постановлению Администрации городского округа Домодедово</w:t>
      </w:r>
    </w:p>
    <w:p w:rsidR="00B52310" w:rsidRPr="0087789A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от </w:t>
      </w:r>
      <w:r w:rsidR="00521231" w:rsidRPr="00521231">
        <w:rPr>
          <w:sz w:val="20"/>
        </w:rPr>
        <w:t>01.11.</w:t>
      </w:r>
      <w:r w:rsidRPr="0087789A">
        <w:rPr>
          <w:sz w:val="20"/>
        </w:rPr>
        <w:t>20</w:t>
      </w:r>
      <w:r>
        <w:rPr>
          <w:sz w:val="20"/>
        </w:rPr>
        <w:t>21</w:t>
      </w:r>
      <w:r w:rsidRPr="0087789A">
        <w:rPr>
          <w:sz w:val="20"/>
        </w:rPr>
        <w:t xml:space="preserve"> №</w:t>
      </w:r>
      <w:r w:rsidR="00521231" w:rsidRPr="00521231">
        <w:rPr>
          <w:sz w:val="20"/>
        </w:rPr>
        <w:t>2562</w:t>
      </w:r>
      <w:r>
        <w:rPr>
          <w:sz w:val="20"/>
        </w:rPr>
        <w:t>»</w:t>
      </w:r>
      <w:r w:rsidRPr="0087789A">
        <w:rPr>
          <w:sz w:val="20"/>
        </w:rPr>
        <w:t xml:space="preserve"> </w:t>
      </w:r>
    </w:p>
    <w:p w:rsidR="00D7285D" w:rsidRPr="0031378B" w:rsidRDefault="00B52310" w:rsidP="00B52310">
      <w:pPr>
        <w:ind w:left="7655"/>
        <w:jc w:val="right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</w:t>
      </w:r>
      <w:r w:rsidR="000A69E4">
        <w:rPr>
          <w:rFonts w:ascii="Times New Roman" w:eastAsia="Calibri" w:hAnsi="Times New Roman"/>
          <w:sz w:val="20"/>
          <w:lang w:eastAsia="en-US"/>
        </w:rPr>
        <w:t xml:space="preserve">«Приложение к </w:t>
      </w:r>
      <w:r w:rsidR="000A69E4" w:rsidRPr="0087789A">
        <w:rPr>
          <w:rFonts w:ascii="Times New Roman" w:hAnsi="Times New Roman"/>
          <w:sz w:val="20"/>
        </w:rPr>
        <w:t>постановлению Администрации городского округа Домодедово</w:t>
      </w:r>
      <w:r w:rsidR="000A69E4">
        <w:rPr>
          <w:rFonts w:ascii="Times New Roman" w:hAnsi="Times New Roman"/>
          <w:sz w:val="20"/>
        </w:rPr>
        <w:t xml:space="preserve"> от 31.10.2019 №2297</w:t>
      </w: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AF7876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7F4F56">
              <w:rPr>
                <w:rFonts w:ascii="Times New Roman" w:hAnsi="Times New Roman"/>
              </w:rPr>
              <w:t>1</w:t>
            </w:r>
            <w:r w:rsidR="00AF7876">
              <w:rPr>
                <w:rFonts w:ascii="Times New Roman" w:hAnsi="Times New Roman"/>
              </w:rPr>
              <w:t>9</w:t>
            </w:r>
            <w:r w:rsidR="007F4F56">
              <w:rPr>
                <w:rFonts w:ascii="Times New Roman" w:hAnsi="Times New Roman"/>
              </w:rPr>
              <w:t> </w:t>
            </w:r>
            <w:r w:rsidR="00AF7876">
              <w:rPr>
                <w:rFonts w:ascii="Times New Roman" w:hAnsi="Times New Roman"/>
              </w:rPr>
              <w:t>949</w:t>
            </w:r>
            <w:r w:rsidR="007F4F56"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B85D91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</w:t>
            </w:r>
            <w:r w:rsidR="00B85D91">
              <w:rPr>
                <w:rFonts w:ascii="Times New Roman" w:hAnsi="Times New Roman"/>
                <w:bCs/>
                <w:szCs w:val="24"/>
              </w:rPr>
              <w:t>953</w:t>
            </w:r>
            <w:r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AF7876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3 953,0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AF7876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3 953,0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AF7876" w:rsidP="00C64F62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93</w:t>
            </w:r>
            <w:r w:rsidRPr="007F4F5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784</w:t>
            </w:r>
            <w:r w:rsidRPr="007F4F56">
              <w:rPr>
                <w:rFonts w:ascii="Times New Roman" w:hAnsi="Times New Roman"/>
              </w:rPr>
              <w:t>,</w:t>
            </w:r>
            <w:r w:rsidR="001538C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</w:t>
            </w:r>
            <w:r w:rsidR="002A5630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634E2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EF4608">
              <w:rPr>
                <w:rFonts w:ascii="Times New Roman" w:hAnsi="Times New Roman"/>
                <w:bCs/>
                <w:szCs w:val="24"/>
              </w:rPr>
              <w:t>7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4E24E0">
              <w:rPr>
                <w:rFonts w:ascii="Times New Roman" w:hAnsi="Times New Roman"/>
                <w:bCs/>
                <w:szCs w:val="24"/>
              </w:rPr>
              <w:t>2</w:t>
            </w:r>
            <w:r w:rsidR="00634E26">
              <w:rPr>
                <w:rFonts w:ascii="Times New Roman" w:hAnsi="Times New Roman"/>
                <w:bCs/>
                <w:szCs w:val="24"/>
              </w:rPr>
              <w:t>88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634E26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B85D91" w:rsidP="00B85D91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19289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1538C8" w:rsidP="00AF787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20 289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AF7876" w:rsidP="00AF787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20 289,9</w:t>
            </w:r>
          </w:p>
        </w:tc>
      </w:tr>
      <w:tr w:rsidR="00DD67A4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7F4F56" w:rsidRDefault="00AF7876" w:rsidP="00AF7876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113</w:t>
            </w:r>
            <w:r w:rsidR="007F4F56" w:rsidRPr="007F4F5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733</w:t>
            </w:r>
            <w:r w:rsidR="007F4F56" w:rsidRPr="007F4F56">
              <w:rPr>
                <w:rFonts w:ascii="Times New Roman" w:hAnsi="Times New Roman"/>
              </w:rPr>
              <w:t>,</w:t>
            </w:r>
            <w:r w:rsidR="001538C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</w:t>
            </w:r>
            <w:r w:rsidR="002A5630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8</w:t>
            </w:r>
            <w:r w:rsidR="004E24E0">
              <w:rPr>
                <w:rFonts w:ascii="Times New Roman" w:hAnsi="Times New Roman"/>
                <w:bCs/>
                <w:szCs w:val="24"/>
              </w:rPr>
              <w:t>92</w:t>
            </w:r>
            <w:r>
              <w:rPr>
                <w:rFonts w:ascii="Times New Roman" w:hAnsi="Times New Roman"/>
                <w:bCs/>
                <w:szCs w:val="24"/>
              </w:rPr>
              <w:t>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4E24E0" w:rsidP="00634E2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623F0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34E26">
              <w:rPr>
                <w:rFonts w:ascii="Times New Roman" w:hAnsi="Times New Roman"/>
                <w:bCs/>
                <w:szCs w:val="24"/>
              </w:rPr>
              <w:t>111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 w:rsidR="00634E26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C64F62" w:rsidP="00C64F62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</w:t>
            </w:r>
            <w:r w:rsidR="00DD67A4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242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AF787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AF7876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AF7876">
              <w:rPr>
                <w:rFonts w:ascii="Times New Roman" w:hAnsi="Times New Roman"/>
                <w:bCs/>
                <w:szCs w:val="24"/>
              </w:rPr>
              <w:t>242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538C8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AF7876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24 242,</w:t>
            </w:r>
            <w:r w:rsidR="001538C8">
              <w:rPr>
                <w:rFonts w:ascii="Times New Roman" w:hAnsi="Times New Roman"/>
                <w:bCs/>
                <w:szCs w:val="24"/>
              </w:rPr>
              <w:t>8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условиях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случае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585780" w:rsidRDefault="00585780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Pr="0078750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13C8C" w:rsidRPr="0031378B" w:rsidRDefault="00313C8C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490F0F">
          <w:type w:val="continuous"/>
          <w:pgSz w:w="16838" w:h="11906" w:orient="landscape"/>
          <w:pgMar w:top="568" w:right="567" w:bottom="1134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2" w:name="RANGE!A1:I9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0A69E4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0A69E4">
              <w:rPr>
                <w:rFonts w:ascii="Times New Roman" w:hAnsi="Times New Roman"/>
                <w:sz w:val="18"/>
                <w:szCs w:val="18"/>
              </w:rPr>
              <w:t>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69E4">
              <w:rPr>
                <w:rFonts w:ascii="Times New Roman" w:hAnsi="Times New Roman"/>
                <w:sz w:val="18"/>
                <w:szCs w:val="18"/>
              </w:rPr>
              <w:t>31.12.2019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3" w:name="_GoBack"/>
            <w:bookmarkEnd w:id="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DA4C64" w:rsidRDefault="003623F0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281941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 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281941" w:rsidP="003636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281941" w:rsidRDefault="00281941" w:rsidP="00281941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281941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3623F0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281941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</w:t>
            </w:r>
            <w:r w:rsidR="00DD67A4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1000,</w:t>
            </w:r>
            <w:r w:rsidR="009C2963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4" w:name="RANGE!A1:K20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6F5B70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B70" w:rsidRPr="0031378B" w:rsidRDefault="006F5B70" w:rsidP="006F5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F5B70" w:rsidRPr="0031378B" w:rsidRDefault="006F5B70" w:rsidP="006F5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70" w:rsidRPr="0031378B" w:rsidRDefault="006F5B70" w:rsidP="006F5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6 832,3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6 832,3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6 832,3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30 413,9</w:t>
            </w:r>
          </w:p>
        </w:tc>
      </w:tr>
      <w:tr w:rsidR="006F5B70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B70" w:rsidRPr="0031378B" w:rsidRDefault="006F5B70" w:rsidP="006F5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B70" w:rsidRPr="0031378B" w:rsidRDefault="006F5B70" w:rsidP="006F5B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B70" w:rsidRPr="00AE163A" w:rsidRDefault="006F5B70" w:rsidP="006F5B70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6F5B70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6F5B70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281941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3 9</w:t>
            </w:r>
            <w:r w:rsidR="006F5B70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53,0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6F5B70" w:rsidP="00281941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</w:t>
            </w:r>
            <w:r w:rsidR="00281941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  <w:t>9</w:t>
            </w: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53,0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281941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3 9</w:t>
            </w:r>
            <w:r w:rsidR="006F5B70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53,0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B70" w:rsidRPr="00AE163A" w:rsidRDefault="006F5B70" w:rsidP="006F5B70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Pr="00DD67A4" w:rsidRDefault="006F5B70" w:rsidP="006F5B70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19 949,0</w:t>
            </w:r>
          </w:p>
        </w:tc>
      </w:tr>
      <w:tr w:rsidR="006F5B70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6F5B70" w:rsidRPr="0031378B" w:rsidRDefault="006F5B70" w:rsidP="006F5B70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Default="006F5B70" w:rsidP="006F5B70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6F5B70" w:rsidRDefault="006F5B70" w:rsidP="006F5B70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6F5B70" w:rsidRDefault="006F5B70" w:rsidP="006F5B70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6F5B70" w:rsidRPr="00AE163A" w:rsidRDefault="006F5B70" w:rsidP="006F5B70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17" w:type="dxa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2 879,3</w:t>
            </w:r>
          </w:p>
        </w:tc>
        <w:tc>
          <w:tcPr>
            <w:tcW w:w="1334" w:type="dxa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2 879,3</w:t>
            </w:r>
          </w:p>
        </w:tc>
        <w:tc>
          <w:tcPr>
            <w:tcW w:w="1457" w:type="dxa"/>
            <w:gridSpan w:val="3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2 879,3</w:t>
            </w:r>
          </w:p>
        </w:tc>
        <w:tc>
          <w:tcPr>
            <w:tcW w:w="1428" w:type="dxa"/>
            <w:vAlign w:val="center"/>
          </w:tcPr>
          <w:p w:rsidR="006F5B70" w:rsidRPr="00AE163A" w:rsidRDefault="006F5B70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10 464,9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4B70AB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</w:t>
            </w:r>
            <w:r w:rsidR="00CB267F">
              <w:rPr>
                <w:rFonts w:ascii="Times New Roman" w:hAnsi="Times New Roman"/>
                <w:bCs/>
                <w:szCs w:val="24"/>
              </w:rPr>
              <w:t>128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CB267F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4B70AB" w:rsidP="0036363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363633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363633">
              <w:rPr>
                <w:rFonts w:ascii="Times New Roman" w:hAnsi="Times New Roman"/>
                <w:bCs/>
                <w:szCs w:val="24"/>
              </w:rPr>
              <w:t>410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363633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281941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16 410,5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281941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16 410,5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6F5B70" w:rsidP="002819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281941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  <w:r w:rsidR="007F4F56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319</w:t>
            </w:r>
            <w:r w:rsidR="007F4F56">
              <w:rPr>
                <w:rFonts w:ascii="Times New Roman" w:hAnsi="Times New Roman"/>
                <w:bCs/>
                <w:szCs w:val="24"/>
              </w:rPr>
              <w:t>,</w:t>
            </w:r>
            <w:r w:rsidR="00010BE6">
              <w:rPr>
                <w:rFonts w:ascii="Times New Roman" w:hAnsi="Times New Roman"/>
                <w:bCs/>
                <w:szCs w:val="24"/>
              </w:rPr>
              <w:t>3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4B70AB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="00CB267F">
              <w:rPr>
                <w:rFonts w:ascii="Times New Roman" w:hAnsi="Times New Roman"/>
                <w:bCs/>
                <w:szCs w:val="24"/>
              </w:rPr>
              <w:t> 128,7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4B70AB" w:rsidP="0036363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363633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363633">
              <w:rPr>
                <w:rFonts w:ascii="Times New Roman" w:hAnsi="Times New Roman"/>
                <w:bCs/>
                <w:szCs w:val="24"/>
              </w:rPr>
              <w:t>410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363633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6F5B7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16 410,5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281941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16 410,5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6F5B70" w:rsidP="002819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281941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  <w:r w:rsidR="007F4F56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319</w:t>
            </w:r>
            <w:r w:rsidR="007F4F56">
              <w:rPr>
                <w:rFonts w:ascii="Times New Roman" w:hAnsi="Times New Roman"/>
                <w:bCs/>
                <w:szCs w:val="24"/>
              </w:rPr>
              <w:t>,</w:t>
            </w:r>
            <w:r w:rsidR="00010BE6">
              <w:rPr>
                <w:rFonts w:ascii="Times New Roman" w:hAnsi="Times New Roman"/>
                <w:bCs/>
                <w:szCs w:val="24"/>
              </w:rPr>
              <w:t>3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61" w:rsidRDefault="00E03961">
      <w:r>
        <w:separator/>
      </w:r>
    </w:p>
  </w:endnote>
  <w:endnote w:type="continuationSeparator" w:id="0">
    <w:p w:rsidR="00E03961" w:rsidRDefault="00E0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61" w:rsidRDefault="00E03961">
      <w:r>
        <w:separator/>
      </w:r>
    </w:p>
  </w:footnote>
  <w:footnote w:type="continuationSeparator" w:id="0">
    <w:p w:rsidR="00E03961" w:rsidRDefault="00E0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0BE6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A69E4"/>
    <w:rsid w:val="000C36FD"/>
    <w:rsid w:val="000C3E6E"/>
    <w:rsid w:val="000D396A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538C8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65A4A"/>
    <w:rsid w:val="00280AF8"/>
    <w:rsid w:val="00280CFB"/>
    <w:rsid w:val="00281941"/>
    <w:rsid w:val="00291C6A"/>
    <w:rsid w:val="002973FB"/>
    <w:rsid w:val="002A1FA0"/>
    <w:rsid w:val="002A2233"/>
    <w:rsid w:val="002A5630"/>
    <w:rsid w:val="002B3E56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1C80"/>
    <w:rsid w:val="00355CC6"/>
    <w:rsid w:val="00360C7E"/>
    <w:rsid w:val="003623F0"/>
    <w:rsid w:val="00363633"/>
    <w:rsid w:val="00373784"/>
    <w:rsid w:val="00374E49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75CB8"/>
    <w:rsid w:val="004814A7"/>
    <w:rsid w:val="00482D08"/>
    <w:rsid w:val="00490F0F"/>
    <w:rsid w:val="00491D57"/>
    <w:rsid w:val="00493C47"/>
    <w:rsid w:val="004A31A0"/>
    <w:rsid w:val="004A5828"/>
    <w:rsid w:val="004B70AB"/>
    <w:rsid w:val="004C385F"/>
    <w:rsid w:val="004C6267"/>
    <w:rsid w:val="004C6B9D"/>
    <w:rsid w:val="004C773C"/>
    <w:rsid w:val="004D2285"/>
    <w:rsid w:val="004E1F36"/>
    <w:rsid w:val="004E24E0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163C5"/>
    <w:rsid w:val="00521231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85780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4E26"/>
    <w:rsid w:val="00636243"/>
    <w:rsid w:val="00636FB5"/>
    <w:rsid w:val="006428B8"/>
    <w:rsid w:val="00644E70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5B70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0AA"/>
    <w:rsid w:val="0078320C"/>
    <w:rsid w:val="007839CF"/>
    <w:rsid w:val="0078750A"/>
    <w:rsid w:val="0079298B"/>
    <w:rsid w:val="00792CF1"/>
    <w:rsid w:val="007950D4"/>
    <w:rsid w:val="00796384"/>
    <w:rsid w:val="0079736E"/>
    <w:rsid w:val="00797E27"/>
    <w:rsid w:val="007A3A09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7F4F56"/>
    <w:rsid w:val="0081002B"/>
    <w:rsid w:val="008145BF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2C74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3606"/>
    <w:rsid w:val="009962BB"/>
    <w:rsid w:val="009A01F8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49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AF7876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52310"/>
    <w:rsid w:val="00B6008D"/>
    <w:rsid w:val="00B61947"/>
    <w:rsid w:val="00B70DDE"/>
    <w:rsid w:val="00B8408E"/>
    <w:rsid w:val="00B8542D"/>
    <w:rsid w:val="00B85D91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64F62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B267F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D67A4"/>
    <w:rsid w:val="00DF55C2"/>
    <w:rsid w:val="00DF5A21"/>
    <w:rsid w:val="00DF61A2"/>
    <w:rsid w:val="00E03961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EF4608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86D8E"/>
    <w:rsid w:val="00F94924"/>
    <w:rsid w:val="00FA27E3"/>
    <w:rsid w:val="00FA2D50"/>
    <w:rsid w:val="00FA750A"/>
    <w:rsid w:val="00FB094C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8D88-2F13-4761-935C-9E44DA97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2021-11-25T07:09:00Z</cp:lastPrinted>
  <dcterms:created xsi:type="dcterms:W3CDTF">2021-12-06T06:50:00Z</dcterms:created>
  <dcterms:modified xsi:type="dcterms:W3CDTF">2021-12-06T06:50:00Z</dcterms:modified>
</cp:coreProperties>
</file>