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C0" w:rsidRP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Pr="00312AC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2AC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515C66">
        <w:rPr>
          <w:rFonts w:ascii="Times New Roman" w:hAnsi="Times New Roman" w:cs="Times New Roman"/>
          <w:b w:val="0"/>
          <w:sz w:val="24"/>
          <w:szCs w:val="24"/>
        </w:rPr>
        <w:t>одского округа Домодедово от 30.03.2020 № 733</w:t>
      </w: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7CC8" w:rsidRPr="00AA29AC" w:rsidRDefault="005458F7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458F7">
        <w:rPr>
          <w:rFonts w:ascii="Times New Roman" w:hAnsi="Times New Roman" w:cs="Times New Roman"/>
          <w:b w:val="0"/>
          <w:sz w:val="24"/>
          <w:szCs w:val="24"/>
        </w:rPr>
        <w:t xml:space="preserve">&lt;&lt; </w:t>
      </w:r>
      <w:r w:rsidR="00D57CC8" w:rsidRPr="00AA29AC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D57CC8" w:rsidRPr="00AA29A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«Предпринимательство» </w:t>
      </w:r>
    </w:p>
    <w:p w:rsidR="00A2458F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29AC">
        <w:rPr>
          <w:rFonts w:ascii="Times New Roman" w:hAnsi="Times New Roman" w:cs="Times New Roman"/>
          <w:b w:val="0"/>
          <w:sz w:val="24"/>
          <w:szCs w:val="24"/>
        </w:rPr>
        <w:t>утвержденн</w:t>
      </w:r>
      <w:bookmarkStart w:id="0" w:name="_GoBack"/>
      <w:bookmarkEnd w:id="0"/>
      <w:r w:rsidRPr="00AA29AC"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gramEnd"/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Домодедово</w:t>
      </w:r>
    </w:p>
    <w:p w:rsidR="00D57CC8" w:rsidRPr="00AA29AC" w:rsidRDefault="008C4765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C4765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>.10.2019 № 2292</w:t>
      </w:r>
    </w:p>
    <w:p w:rsidR="00BA0EBE" w:rsidRDefault="00BA0EBE" w:rsidP="00BA0EBE"/>
    <w:p w:rsidR="00504ACF" w:rsidRDefault="00BA0EBE" w:rsidP="00BA0EBE">
      <w:pPr>
        <w:jc w:val="center"/>
        <w:rPr>
          <w:rFonts w:ascii="Times New Roman" w:hAnsi="Times New Roman" w:cs="Times New Roman"/>
          <w:b/>
          <w:sz w:val="24"/>
        </w:rPr>
      </w:pPr>
      <w:r w:rsidRPr="00BA0EBE">
        <w:rPr>
          <w:rFonts w:ascii="Times New Roman" w:hAnsi="Times New Roman" w:cs="Times New Roman"/>
          <w:b/>
          <w:sz w:val="24"/>
        </w:rPr>
        <w:t>Перечень мероприятий муниципальной программы «Предпринимательство»</w:t>
      </w:r>
    </w:p>
    <w:tbl>
      <w:tblPr>
        <w:tblW w:w="546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02"/>
        <w:gridCol w:w="3043"/>
        <w:gridCol w:w="1280"/>
        <w:gridCol w:w="52"/>
        <w:gridCol w:w="1096"/>
        <w:gridCol w:w="688"/>
        <w:gridCol w:w="78"/>
        <w:gridCol w:w="68"/>
        <w:gridCol w:w="566"/>
        <w:gridCol w:w="229"/>
        <w:gridCol w:w="42"/>
        <w:gridCol w:w="26"/>
        <w:gridCol w:w="133"/>
        <w:gridCol w:w="624"/>
        <w:gridCol w:w="19"/>
        <w:gridCol w:w="168"/>
        <w:gridCol w:w="184"/>
        <w:gridCol w:w="26"/>
        <w:gridCol w:w="478"/>
        <w:gridCol w:w="94"/>
        <w:gridCol w:w="61"/>
        <w:gridCol w:w="317"/>
        <w:gridCol w:w="16"/>
        <w:gridCol w:w="368"/>
        <w:gridCol w:w="187"/>
        <w:gridCol w:w="6"/>
        <w:gridCol w:w="378"/>
        <w:gridCol w:w="39"/>
        <w:gridCol w:w="16"/>
        <w:gridCol w:w="255"/>
        <w:gridCol w:w="591"/>
        <w:gridCol w:w="129"/>
        <w:gridCol w:w="19"/>
        <w:gridCol w:w="895"/>
        <w:gridCol w:w="110"/>
        <w:gridCol w:w="26"/>
        <w:gridCol w:w="365"/>
        <w:gridCol w:w="1067"/>
        <w:gridCol w:w="42"/>
        <w:gridCol w:w="55"/>
        <w:gridCol w:w="55"/>
        <w:gridCol w:w="13"/>
        <w:gridCol w:w="16"/>
        <w:gridCol w:w="1739"/>
      </w:tblGrid>
      <w:tr w:rsidR="00494F35" w:rsidRPr="00574372" w:rsidTr="00174406">
        <w:trPr>
          <w:trHeight w:val="49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№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/п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финансиро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-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3076E3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 финанси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рования мероприятия в году, предшествующему году начала реализации муниципальной программы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Всего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1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Объемы финансирования по годам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Ответственный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5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Результаты выполнения мероприятия Подпр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ограм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мы</w:t>
            </w:r>
          </w:p>
        </w:tc>
      </w:tr>
      <w:tr w:rsidR="00D57CC8" w:rsidRPr="00574372" w:rsidTr="0017440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2020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2021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2022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2023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2024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4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57CC8" w:rsidRPr="00574372" w:rsidTr="00174406">
        <w:trPr>
          <w:trHeight w:val="20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val="en-US"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13</w:t>
            </w:r>
          </w:p>
        </w:tc>
      </w:tr>
      <w:tr w:rsidR="00C57A2C" w:rsidRPr="00574372" w:rsidTr="00494F35">
        <w:trPr>
          <w:trHeight w:val="209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r w:rsidR="003076E3"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val="en-US" w:eastAsia="ru-RU"/>
              </w:rPr>
              <w:t>I</w:t>
            </w: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«Инвестиции»</w:t>
            </w:r>
          </w:p>
        </w:tc>
      </w:tr>
      <w:tr w:rsidR="00D230DE" w:rsidRPr="00404EF4" w:rsidTr="00174406">
        <w:trPr>
          <w:trHeight w:val="27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FF8" w:rsidRPr="003B3FF8" w:rsidRDefault="0090455D" w:rsidP="003B3FF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3B3FF8" w:rsidRPr="003B3FF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Основное мероприятие 2</w:t>
            </w:r>
          </w:p>
          <w:p w:rsidR="0090455D" w:rsidRPr="00404EF4" w:rsidRDefault="003B3FF8" w:rsidP="003B3FF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Создание многофункциональных индустриальных парков, технопарков (технологических парков), </w:t>
            </w:r>
            <w:proofErr w:type="spellStart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инновационно</w:t>
            </w:r>
            <w:proofErr w:type="spellEnd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-технологических центров, промышленных площадок на территории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5170F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E43FA0" w:rsidRDefault="003B3FF8" w:rsidP="00E43FA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объема инвестиций, привлеченных в основной капитал (без учета бюджетных инвестиций), на душу населения  до 159,9 </w:t>
            </w:r>
            <w:proofErr w:type="spell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тыс</w:t>
            </w:r>
            <w:proofErr w:type="gram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.р</w:t>
            </w:r>
            <w:proofErr w:type="gram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ублей</w:t>
            </w:r>
            <w:proofErr w:type="spell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к 2024 году.  Увеличение процента заполняемости многопрофильных индустриальных парков, технологических парков, </w:t>
            </w: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промышленных площадок индустриальных парков до 100% к 2024 году. Количество многопрофильных индустриальных парков, технологических парков, промышленных площадок  составит 5 к 2024 году. Площадь территории, на которую привлечены новые резиденты в 2024 году 36,43 га.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2024 году составит 141500 тыс. руб. Количество созданных рабочих мест к 2024 году составит 11169 человек.</w:t>
            </w:r>
          </w:p>
        </w:tc>
      </w:tr>
      <w:tr w:rsidR="00D230DE" w:rsidRPr="00404EF4" w:rsidTr="00174406">
        <w:trPr>
          <w:trHeight w:val="141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55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28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532B41" w:rsidRPr="00404EF4" w:rsidRDefault="004418CA" w:rsidP="004418C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6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68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2.5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D230DE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4418CA"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57CC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3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1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87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2.6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6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2.51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51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Развитие инвестиционной привлекательности городского округа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0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.5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52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 и складской логистики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7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3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5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7. 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4418CA" w:rsidP="009E5C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количества привлеченных резидентов на 21 к 2024 году  на территории городского округа Домодедово. Увеличение среднемесячной заработной платы </w:t>
            </w:r>
            <w:proofErr w:type="gram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работников организаций, не относящихся к субъектам малого предпринимательства к 2024 году  составит</w:t>
            </w:r>
            <w:proofErr w:type="gram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107,4%. Количество высокопроизводительн</w:t>
            </w: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 xml:space="preserve">ых рабочих мест во внебюджетном секторе в 2024 году составит </w:t>
            </w:r>
            <w:r w:rsid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44000 мест</w:t>
            </w: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Производительность труда в базовых </w:t>
            </w:r>
            <w:proofErr w:type="spell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несырьевых</w:t>
            </w:r>
            <w:proofErr w:type="spell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отраслях в 2024 году составит 3,9%</w:t>
            </w:r>
          </w:p>
        </w:tc>
      </w:tr>
      <w:tr w:rsidR="00D230DE" w:rsidRPr="00404EF4" w:rsidTr="00174406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Внебюджетные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6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4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Создание и открытие новых промышленных предприятий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7.6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6</w:t>
            </w:r>
          </w:p>
          <w:p w:rsidR="004E36D5" w:rsidRPr="00404EF4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Увеличение числа работников прошедших обучение, за счет чего повысилась квалификация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9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7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7</w:t>
            </w:r>
          </w:p>
          <w:p w:rsidR="00FA67FF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Увеличение предприятий с высокопроизводительными рабочими местами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6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4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53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53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территориального трехстороннего соглашения о социальном партнерстве в городском округе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494F35">
        <w:trPr>
          <w:trHeight w:val="314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 «Развитие конкуренции»</w:t>
            </w: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A29" w:rsidRDefault="00991E69" w:rsidP="006C65F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6C65F9"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2 </w:t>
            </w:r>
          </w:p>
          <w:p w:rsidR="00991E69" w:rsidRPr="00404EF4" w:rsidRDefault="00991E69" w:rsidP="006C65F9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Развитие конкурентной среды в рамках Федерального закона № 44-ФЗ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6C65F9" w:rsidP="00AA29AC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gramStart"/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 к 2024 году составит 3,6%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Доля несостоявшихся торгов 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от общего количества объявленных торгов в 2024 году составит 40%. Доля общей экономии денежных средств от общей суммы объявленных торгов к 2024 году составит 7%. Доля закупок среди субъектов малого и среднего предпринимательства, социально ориентированных некоммерческих</w:t>
            </w:r>
            <w:proofErr w:type="gramEnd"/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2024 году составит 33%. Среднее количество участников на торгах в 2024 году составит 3,4 единиц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991E69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Привлечение максимального числа участников конкурентных процедур для обеспечения нужд муниципальных заказчиков городского округа Домодедово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br w:type="page"/>
              <w:t>1.2.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Разработка и актуализация правовых актов в сфере закупок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Оптимизация и улучшение функционирования контрактных служб и контрактных управляющих муниципальных заказчиков и рабочих групп.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1.3.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Анализ и мониторинг закупочной деятельности заказчиков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7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94F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39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4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Организация проведения совместных закупок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Централизованное обеспечение нужд муниципальных заказчиков, улучшение качества и снижение стоимости товаров (работа, услуг). Привлечение к закупам большего количества </w:t>
            </w: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участников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Мониторинг и контроль закупок по Федеральному закону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№ 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1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Обеспечение законодательно установленного объема закупок инновационной и высокотехнологичной продукции, а также закупок у субъектов малого и среднего предпринимательства. 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Реализация комплекса мер по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содействию развитию конкуренции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МКУ «Дирекция Единого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6C65F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 xml:space="preserve">Количество реализованных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требований Стандарта развития конкуренции в муниципальном образовании Московской области в 2024 году составит 5 единиц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3D7D37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Формирование и изменение перечня рынков для содействия развитию конкуренции в </w:t>
            </w:r>
            <w:r w:rsidR="003D7D37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Актуализация перечня рынков для содействия развитию конкуренции.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 2 </w:t>
            </w:r>
          </w:p>
          <w:p w:rsidR="00991E69" w:rsidRPr="00404EF4" w:rsidRDefault="00991E69" w:rsidP="001C3594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Разработка и корректировка плана мероприятий («дорожной карты») по содействию развитию конкуренции в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024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Определение необходимых процессов для реализации требований по развитию конкуренции, их последовательности и приоритетности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</w:p>
        </w:tc>
        <w:tc>
          <w:tcPr>
            <w:tcW w:w="941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мониторинга состояния и развития конкурентной среды на рынках товаров, работ и услуг на территории</w:t>
            </w:r>
            <w:r w:rsidR="001C3594">
              <w:t xml:space="preserve">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 xml:space="preserve"> Московской области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и анализ его результатов</w:t>
            </w:r>
          </w:p>
        </w:tc>
        <w:tc>
          <w:tcPr>
            <w:tcW w:w="396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024A29" w:rsidRPr="00024A29" w:rsidRDefault="00024A29" w:rsidP="00024A29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главных показателей для анализа деятельности по развитию конкуренции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075B6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4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Подготовка ежегодного доклада «Информационный доклад о внедрении стандарта развития конкуренции на территории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и представление доклада в уполномоченный орган в сфере закупок Московской области. Публикация доклада на официальном сайте городского округа Домодедово.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.5.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5</w:t>
            </w:r>
          </w:p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Информирование субъектов предпринимательской деятельности и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1878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Освещение в средствах массовой информации и сети Интернет </w:t>
            </w: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процессов развития конкурентной среды в городском округе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494F35">
        <w:trPr>
          <w:trHeight w:val="21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991E69" w:rsidRPr="00404EF4" w:rsidTr="00AE5068">
        <w:trPr>
          <w:trHeight w:val="41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Основное мероприятие 2 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Реализация механизмов муниципальной поддержки субъектов малого и среднего предпринимательства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br/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991E69" w:rsidRPr="00404EF4">
              <w:rPr>
                <w:rFonts w:ascii="Times New Roman" w:hAnsi="Times New Roman" w:cs="Times New Roman"/>
                <w:sz w:val="16"/>
                <w:szCs w:val="20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85" w:rsidRPr="00404EF4" w:rsidRDefault="00991E69" w:rsidP="009E5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27,60% к 2024 году. Число субъектов МСП в расчете на 10 тыс. человек населения 679,54 единиц к 2024 году. Малый бизнес большого региона. Прирост количества субъектов малого и среднего предпринимательства на 10 тыс. населения 115,11 единиц к 2024 году.</w:t>
            </w:r>
            <w:r w:rsidR="00A74B8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640604">
            <w:pPr>
              <w:widowControl w:val="0"/>
              <w:tabs>
                <w:tab w:val="center" w:pos="40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34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1</w:t>
            </w:r>
          </w:p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Частичная компенсация субъектам малого и среднего предпринимательства затрат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на уплату первого взноса (аванса) при заключении договора лизинга.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администрации городского округа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Московской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374718" w:rsidRPr="00404EF4" w:rsidTr="00174406">
        <w:trPr>
          <w:trHeight w:val="28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A2458F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2</w:t>
            </w:r>
          </w:p>
          <w:p w:rsidR="00374718" w:rsidRPr="00404EF4" w:rsidRDefault="00374718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3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374718" w:rsidRPr="00404EF4">
              <w:rPr>
                <w:rFonts w:ascii="Times New Roman" w:hAnsi="Times New Roman" w:cs="Times New Roman"/>
                <w:sz w:val="16"/>
                <w:szCs w:val="20"/>
              </w:rPr>
              <w:t>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D1FA2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8D1FA2">
            <w:pPr>
              <w:widowControl w:val="0"/>
              <w:tabs>
                <w:tab w:val="center" w:pos="41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3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инвалидов, обеспечение культурно-просветительской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27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Основное мероприятие  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8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 проект «Популяризация предпринимательства».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E5C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Число вновь созданных предприятий МСП в сфере производства или услуг 290 к 2024 году.  Количество вновь созданных субъектов МСП участниками проекта 0,009 тыс. единиц. Численность занятых в сфере малого и среднего предпринимательства, включая индивидуальных предпринимателей за отчетный период (прошедший год) 42 184 человек к 2024 году.</w:t>
            </w:r>
            <w:r w:rsidR="009E5C8A">
              <w:t xml:space="preserve"> </w:t>
            </w:r>
            <w:r w:rsidR="009E5C8A" w:rsidRP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Количество </w:t>
            </w:r>
            <w:proofErr w:type="spellStart"/>
            <w:r w:rsidR="009E5C8A" w:rsidRP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самозанятых</w:t>
            </w:r>
            <w:proofErr w:type="spellEnd"/>
            <w:r w:rsidR="009E5C8A" w:rsidRP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gramStart"/>
            <w:r w:rsidR="009E5C8A" w:rsidRP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зарегистрированных</w:t>
            </w:r>
            <w:proofErr w:type="gramEnd"/>
            <w:r w:rsidR="009E5C8A" w:rsidRP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на территории муниципального образования и осуществляющих деятельность на территории Московской области к 2024 году </w:t>
            </w:r>
            <w:r w:rsid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10200</w:t>
            </w: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305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Мероприятие 1 </w:t>
            </w:r>
          </w:p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09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494F35">
        <w:trPr>
          <w:trHeight w:val="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4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Подпрограмма 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val="en-US" w:eastAsia="ru-RU"/>
              </w:rPr>
              <w:t>IV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 «Развитие потребите</w:t>
            </w:r>
            <w:r w:rsidR="001E032D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льского рынка и услуг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»</w:t>
            </w:r>
          </w:p>
        </w:tc>
      </w:tr>
      <w:tr w:rsidR="00991E69" w:rsidRPr="00404EF4" w:rsidTr="00174406">
        <w:trPr>
          <w:trHeight w:val="51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230B3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Основное мероприятие 1.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Развитие потребительского рынка и услуг 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230B3E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  <w:lang w:eastAsia="ru-RU"/>
              </w:rPr>
            </w:pPr>
            <w:r w:rsidRPr="00230B3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18005,00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3452,00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3474,00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3693,00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3693,00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3693,00</w:t>
            </w:r>
          </w:p>
        </w:tc>
        <w:tc>
          <w:tcPr>
            <w:tcW w:w="5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Увеличение обеспеченности населения площадью торговых объектов составит  1111,1 </w:t>
            </w:r>
            <w:proofErr w:type="spell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4,6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составит 1200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 товаров в сельские населенные пункты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 70% к 2024 году</w:t>
            </w:r>
          </w:p>
        </w:tc>
      </w:tr>
      <w:tr w:rsidR="00991E69" w:rsidRPr="00404EF4" w:rsidTr="00174406">
        <w:trPr>
          <w:trHeight w:val="96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9807,00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1856,00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1930,00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2007,00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2007,00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152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8198,00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1596,00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1686,00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1686,00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1686,00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82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33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 пределах  средств, предусмотренных на основную деятельность исполнителей</w:t>
            </w:r>
          </w:p>
        </w:tc>
        <w:tc>
          <w:tcPr>
            <w:tcW w:w="498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8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Развитие современного формата объектов потребительского рынка и услуг. Увеличение обеспеченности населения площадью торговых объектов составит  1111,1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</w:p>
        </w:tc>
      </w:tr>
      <w:tr w:rsidR="00991E69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07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174406">
        <w:trPr>
          <w:trHeight w:val="423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1.2.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7440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Возможность малым предприятиям реализовать свой товар, обеспечение потребителя свежей продукцией местных производителей</w:t>
            </w:r>
          </w:p>
        </w:tc>
      </w:tr>
      <w:tr w:rsidR="00174406" w:rsidRPr="00404EF4" w:rsidTr="00174406">
        <w:trPr>
          <w:trHeight w:val="1898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9847D8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07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174406">
        <w:trPr>
          <w:trHeight w:val="50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Организация и проведение «социальных» акций для ветеранов и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Отдел сферы обращения Администрации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Поддержка граждан, находящихся в трудной жизненной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ситуации</w:t>
            </w:r>
          </w:p>
        </w:tc>
      </w:tr>
      <w:tr w:rsidR="00174406" w:rsidRPr="00404EF4" w:rsidTr="00174406">
        <w:trPr>
          <w:trHeight w:val="16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округа Домодедово  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7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1.4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D957FA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4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957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D957FA" w:rsidP="00D957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  <w:lang w:eastAsia="ru-RU"/>
              </w:rPr>
            </w:pPr>
            <w:r w:rsidRPr="00D957F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15505,00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2952,00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2974,00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3193,00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2193,00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3193,00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ind w:left="-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 к 2024 году составит 70 процентов. Таки образом создаются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условаия</w:t>
            </w:r>
            <w:proofErr w:type="spell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для обеспечения жителей таких территорий товарами и услугами в необходимом ассортименте</w:t>
            </w: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0D257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EA6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9807,00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1856,00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1930,00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2007,00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152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5698,00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1096,00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1044,00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381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Размещение нестационарных торговых объектов в соответствии с законодательством Российской Федерации  и законодательством Московской области с целью повышения доступности товаров и услуг для потребителей. Ликвидация незаконных нестационарных объектов.</w:t>
            </w:r>
          </w:p>
        </w:tc>
      </w:tr>
      <w:tr w:rsidR="00991E69" w:rsidRPr="00404EF4" w:rsidTr="00174406">
        <w:trPr>
          <w:trHeight w:val="1387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посадочных мест на объектах общественного питания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 2024 году составит 95 посадочных мест</w:t>
            </w:r>
          </w:p>
        </w:tc>
      </w:tr>
      <w:tr w:rsidR="00991E69" w:rsidRPr="00404EF4" w:rsidTr="00174406">
        <w:trPr>
          <w:trHeight w:val="161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1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общественного питания на территории городского округа Домодедово</w:t>
            </w:r>
          </w:p>
        </w:tc>
      </w:tr>
      <w:tr w:rsidR="00991E69" w:rsidRPr="00404EF4" w:rsidTr="00174406">
        <w:trPr>
          <w:trHeight w:val="145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рабочих мест на объектах бытового обслуживания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2024 году 37 рабочих места</w:t>
            </w:r>
          </w:p>
        </w:tc>
      </w:tr>
      <w:tr w:rsidR="00991E69" w:rsidRPr="00404EF4" w:rsidTr="00174406">
        <w:trPr>
          <w:trHeight w:val="182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Содействие увеличению уровня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обеспеченности населения муниципального образования Московской области Московской области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предприятиями бытового обслуживания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бытового обслуживания на территории городского округа Домодедово</w:t>
            </w:r>
          </w:p>
        </w:tc>
      </w:tr>
      <w:tr w:rsidR="00991E69" w:rsidRPr="00404EF4" w:rsidTr="00174406">
        <w:trPr>
          <w:trHeight w:val="1576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847D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 составит 2,5% в 2024 году</w:t>
            </w:r>
          </w:p>
        </w:tc>
      </w:tr>
      <w:tr w:rsidR="00991E69" w:rsidRPr="00404EF4" w:rsidTr="00174406">
        <w:trPr>
          <w:trHeight w:val="136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E43FA0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Снижение уровня неудовлетворенности населения качеством реализуемых товаров</w:t>
            </w:r>
          </w:p>
        </w:tc>
      </w:tr>
      <w:tr w:rsidR="00991E69" w:rsidRPr="00404EF4" w:rsidTr="00174406">
        <w:trPr>
          <w:trHeight w:val="154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2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Обращения в суды по вопросу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Минимизация обращений в суды по вопросу защиты прав потребителей. Устранение нарушений Закона Российской Федерации от 07.02.1992 № 2300-1 "О защите прав потребителей" в досудебном порядке </w:t>
            </w:r>
          </w:p>
        </w:tc>
      </w:tr>
      <w:tr w:rsidR="00991E69" w:rsidTr="000975B2">
        <w:tblPrEx>
          <w:tblBorders>
            <w:top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37"/>
          <w:wBefore w:w="4076" w:type="pct"/>
          <w:trHeight w:val="100"/>
        </w:trPr>
        <w:tc>
          <w:tcPr>
            <w:tcW w:w="924" w:type="pct"/>
            <w:gridSpan w:val="7"/>
          </w:tcPr>
          <w:p w:rsidR="00991E69" w:rsidRDefault="005458F7" w:rsidP="005170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8F7">
              <w:rPr>
                <w:rFonts w:ascii="Times New Roman" w:hAnsi="Times New Roman" w:cs="Times New Roman"/>
                <w:b/>
                <w:sz w:val="24"/>
              </w:rPr>
              <w:t>&gt;&gt;</w:t>
            </w:r>
          </w:p>
        </w:tc>
      </w:tr>
    </w:tbl>
    <w:p w:rsidR="00BA0EBE" w:rsidRPr="00BA0EBE" w:rsidRDefault="00BA0EBE" w:rsidP="00D230DE">
      <w:pPr>
        <w:rPr>
          <w:rFonts w:ascii="Times New Roman" w:hAnsi="Times New Roman" w:cs="Times New Roman"/>
          <w:b/>
          <w:sz w:val="24"/>
        </w:rPr>
      </w:pPr>
    </w:p>
    <w:sectPr w:rsidR="00BA0EBE" w:rsidRPr="00BA0EBE" w:rsidSect="005B585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2B7"/>
    <w:multiLevelType w:val="hybridMultilevel"/>
    <w:tmpl w:val="D692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E74D7"/>
    <w:multiLevelType w:val="hybridMultilevel"/>
    <w:tmpl w:val="34CC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36A9"/>
    <w:multiLevelType w:val="hybridMultilevel"/>
    <w:tmpl w:val="95729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0179"/>
    <w:multiLevelType w:val="hybridMultilevel"/>
    <w:tmpl w:val="7B8E8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A449B6"/>
    <w:multiLevelType w:val="hybridMultilevel"/>
    <w:tmpl w:val="732E0D4A"/>
    <w:lvl w:ilvl="0" w:tplc="E8FA4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A2B73"/>
    <w:multiLevelType w:val="hybridMultilevel"/>
    <w:tmpl w:val="47EA36F0"/>
    <w:lvl w:ilvl="0" w:tplc="1E52A19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7"/>
    <w:rsid w:val="00024A29"/>
    <w:rsid w:val="000710F9"/>
    <w:rsid w:val="00075B6F"/>
    <w:rsid w:val="00084752"/>
    <w:rsid w:val="000975B2"/>
    <w:rsid w:val="000D2575"/>
    <w:rsid w:val="000F2857"/>
    <w:rsid w:val="000F2BD6"/>
    <w:rsid w:val="001076F1"/>
    <w:rsid w:val="00112C00"/>
    <w:rsid w:val="00113D88"/>
    <w:rsid w:val="00137A43"/>
    <w:rsid w:val="00153CC5"/>
    <w:rsid w:val="00174406"/>
    <w:rsid w:val="001878B2"/>
    <w:rsid w:val="001C3594"/>
    <w:rsid w:val="001C574B"/>
    <w:rsid w:val="001E032D"/>
    <w:rsid w:val="001F308E"/>
    <w:rsid w:val="00230B3E"/>
    <w:rsid w:val="00241A1F"/>
    <w:rsid w:val="00260DD1"/>
    <w:rsid w:val="002847A0"/>
    <w:rsid w:val="002C4C70"/>
    <w:rsid w:val="003076E3"/>
    <w:rsid w:val="0031074A"/>
    <w:rsid w:val="00311FA4"/>
    <w:rsid w:val="00312AC0"/>
    <w:rsid w:val="00316760"/>
    <w:rsid w:val="00332909"/>
    <w:rsid w:val="0034153B"/>
    <w:rsid w:val="00362688"/>
    <w:rsid w:val="00374718"/>
    <w:rsid w:val="003B3FF8"/>
    <w:rsid w:val="003D7D37"/>
    <w:rsid w:val="003E694E"/>
    <w:rsid w:val="00404EF4"/>
    <w:rsid w:val="00417D6F"/>
    <w:rsid w:val="004418CA"/>
    <w:rsid w:val="00465EE6"/>
    <w:rsid w:val="0048121F"/>
    <w:rsid w:val="00494F35"/>
    <w:rsid w:val="004A3961"/>
    <w:rsid w:val="004B6ED4"/>
    <w:rsid w:val="004D4C7C"/>
    <w:rsid w:val="004E36D5"/>
    <w:rsid w:val="00504ACF"/>
    <w:rsid w:val="00515C66"/>
    <w:rsid w:val="005170F9"/>
    <w:rsid w:val="00520E76"/>
    <w:rsid w:val="005217E6"/>
    <w:rsid w:val="00532B41"/>
    <w:rsid w:val="005458F7"/>
    <w:rsid w:val="00546BA4"/>
    <w:rsid w:val="00555102"/>
    <w:rsid w:val="00594AE6"/>
    <w:rsid w:val="005B34BB"/>
    <w:rsid w:val="005B5859"/>
    <w:rsid w:val="005B5C73"/>
    <w:rsid w:val="005C5B5E"/>
    <w:rsid w:val="005D3AB0"/>
    <w:rsid w:val="005F2772"/>
    <w:rsid w:val="006311A5"/>
    <w:rsid w:val="00640604"/>
    <w:rsid w:val="006701B7"/>
    <w:rsid w:val="006A01BF"/>
    <w:rsid w:val="006C65F9"/>
    <w:rsid w:val="00703592"/>
    <w:rsid w:val="0070460C"/>
    <w:rsid w:val="00762FB2"/>
    <w:rsid w:val="00765868"/>
    <w:rsid w:val="00775158"/>
    <w:rsid w:val="007B0037"/>
    <w:rsid w:val="007B4EC4"/>
    <w:rsid w:val="007B66B1"/>
    <w:rsid w:val="007C4634"/>
    <w:rsid w:val="007F7622"/>
    <w:rsid w:val="008248F9"/>
    <w:rsid w:val="00830306"/>
    <w:rsid w:val="00831A79"/>
    <w:rsid w:val="00874D72"/>
    <w:rsid w:val="008C4765"/>
    <w:rsid w:val="008D1FA2"/>
    <w:rsid w:val="0090455D"/>
    <w:rsid w:val="009847D8"/>
    <w:rsid w:val="00991E69"/>
    <w:rsid w:val="009E5C8A"/>
    <w:rsid w:val="00A2458F"/>
    <w:rsid w:val="00A43C7B"/>
    <w:rsid w:val="00A73831"/>
    <w:rsid w:val="00A74B85"/>
    <w:rsid w:val="00A94D1C"/>
    <w:rsid w:val="00AA29AC"/>
    <w:rsid w:val="00AE5068"/>
    <w:rsid w:val="00B0162D"/>
    <w:rsid w:val="00B03650"/>
    <w:rsid w:val="00B426B7"/>
    <w:rsid w:val="00B8268D"/>
    <w:rsid w:val="00BA0EBE"/>
    <w:rsid w:val="00BF75C6"/>
    <w:rsid w:val="00C57A2C"/>
    <w:rsid w:val="00CA2088"/>
    <w:rsid w:val="00CD2853"/>
    <w:rsid w:val="00CD7F33"/>
    <w:rsid w:val="00CF2D02"/>
    <w:rsid w:val="00D11152"/>
    <w:rsid w:val="00D230DE"/>
    <w:rsid w:val="00D50293"/>
    <w:rsid w:val="00D55A3A"/>
    <w:rsid w:val="00D57CC8"/>
    <w:rsid w:val="00D81EF6"/>
    <w:rsid w:val="00D90BC3"/>
    <w:rsid w:val="00D957FA"/>
    <w:rsid w:val="00DE62A9"/>
    <w:rsid w:val="00DF77CC"/>
    <w:rsid w:val="00E06737"/>
    <w:rsid w:val="00E170A4"/>
    <w:rsid w:val="00E337D2"/>
    <w:rsid w:val="00E43FA0"/>
    <w:rsid w:val="00E4502D"/>
    <w:rsid w:val="00E9229D"/>
    <w:rsid w:val="00EA5187"/>
    <w:rsid w:val="00EA64FA"/>
    <w:rsid w:val="00EE564A"/>
    <w:rsid w:val="00F37D63"/>
    <w:rsid w:val="00FA67FF"/>
    <w:rsid w:val="00FC041F"/>
    <w:rsid w:val="00FD626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2020-03-19T12:46:00Z</cp:lastPrinted>
  <dcterms:created xsi:type="dcterms:W3CDTF">2020-05-08T08:59:00Z</dcterms:created>
  <dcterms:modified xsi:type="dcterms:W3CDTF">2020-05-08T08:59:00Z</dcterms:modified>
</cp:coreProperties>
</file>