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5812" w:firstLine="709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>Приложение</w:t>
      </w:r>
    </w:p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 xml:space="preserve"> к постановлению Администрации городского округа Домодедово </w:t>
      </w:r>
    </w:p>
    <w:p w:rsidR="00490F0F" w:rsidRPr="0087789A" w:rsidRDefault="003D425D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  <w:lang w:val="en-US"/>
        </w:rPr>
        <w:t>14</w:t>
      </w:r>
      <w:r>
        <w:rPr>
          <w:rFonts w:ascii="Times New Roman" w:hAnsi="Times New Roman"/>
          <w:sz w:val="20"/>
        </w:rPr>
        <w:t>.07.</w:t>
      </w:r>
      <w:r w:rsidR="005C3C90">
        <w:rPr>
          <w:rFonts w:ascii="Times New Roman" w:hAnsi="Times New Roman"/>
          <w:sz w:val="20"/>
        </w:rPr>
        <w:t>2020</w:t>
      </w:r>
      <w:r>
        <w:rPr>
          <w:rFonts w:ascii="Times New Roman" w:hAnsi="Times New Roman"/>
          <w:sz w:val="20"/>
        </w:rPr>
        <w:t xml:space="preserve"> № 1449</w:t>
      </w:r>
    </w:p>
    <w:p w:rsidR="00D7285D" w:rsidRPr="0031378B" w:rsidRDefault="00D7285D" w:rsidP="00D7285D">
      <w:pPr>
        <w:ind w:left="7655"/>
        <w:rPr>
          <w:rFonts w:ascii="Times New Roman" w:eastAsia="Calibri" w:hAnsi="Times New Roman"/>
          <w:sz w:val="20"/>
          <w:lang w:eastAsia="en-US"/>
        </w:rPr>
      </w:pP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126"/>
        <w:gridCol w:w="1985"/>
        <w:gridCol w:w="1984"/>
        <w:gridCol w:w="1985"/>
        <w:gridCol w:w="2126"/>
      </w:tblGrid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0"/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F076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градостроительство»</w:t>
            </w:r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482D08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Управление строительства и городской инфраструктуры </w:t>
            </w:r>
            <w:r w:rsidR="007F0763">
              <w:rPr>
                <w:rFonts w:ascii="Times New Roman" w:hAnsi="Times New Roman"/>
                <w:szCs w:val="24"/>
              </w:rPr>
              <w:t>А</w:t>
            </w:r>
            <w:r w:rsidRPr="0031378B">
              <w:rPr>
                <w:rFonts w:ascii="Times New Roman" w:hAnsi="Times New Roman"/>
                <w:szCs w:val="24"/>
              </w:rPr>
              <w:t>дминистрации городского округа Домодедово</w:t>
            </w:r>
          </w:p>
        </w:tc>
      </w:tr>
      <w:tr w:rsidR="009032BD" w:rsidRPr="0031378B" w:rsidTr="00482D08">
        <w:trPr>
          <w:trHeight w:val="8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DA4C64" w:rsidRDefault="00DA4C64" w:rsidP="00DA4C64">
            <w:pPr>
              <w:rPr>
                <w:rFonts w:ascii="Times New Roman" w:hAnsi="Times New Roman"/>
                <w:szCs w:val="24"/>
              </w:rPr>
            </w:pPr>
            <w:r w:rsidRPr="00DA4C64">
              <w:rPr>
                <w:rFonts w:ascii="Times New Roman" w:hAnsi="Times New Roman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      </w:r>
            <w:r w:rsidRPr="00DA4C64">
              <w:rPr>
                <w:rFonts w:ascii="Times New Roman" w:hAnsi="Times New Roman"/>
                <w:bCs/>
                <w:szCs w:val="24"/>
              </w:rPr>
              <w:t>формирование условий для устойчивого градостроительного развития</w:t>
            </w:r>
          </w:p>
        </w:tc>
      </w:tr>
      <w:tr w:rsidR="009032BD" w:rsidRPr="0031378B" w:rsidTr="00482D08">
        <w:trPr>
          <w:trHeight w:val="63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64" w:rsidRPr="00490F0F" w:rsidRDefault="007F0763" w:rsidP="00DA4C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>
              <w:rPr>
                <w:rFonts w:ascii="Times New Roman" w:eastAsiaTheme="minorEastAsia" w:hAnsi="Times New Roman"/>
                <w:szCs w:val="24"/>
                <w:lang w:val="en-US"/>
              </w:rPr>
              <w:t>I</w:t>
            </w:r>
            <w:r w:rsidR="00DA4C64" w:rsidRPr="00490F0F">
              <w:rPr>
                <w:rFonts w:ascii="Times New Roman" w:eastAsiaTheme="minorEastAsia" w:hAnsi="Times New Roman"/>
                <w:szCs w:val="24"/>
              </w:rPr>
              <w:t xml:space="preserve"> «Разработка Генерального плана развития городского округа»</w:t>
            </w:r>
          </w:p>
          <w:p w:rsidR="009032BD" w:rsidRDefault="00DA4C64" w:rsidP="00DA4C64">
            <w:pPr>
              <w:rPr>
                <w:rFonts w:ascii="Times New Roman" w:eastAsiaTheme="minorEastAsia" w:hAnsi="Times New Roman"/>
                <w:szCs w:val="24"/>
              </w:rPr>
            </w:pPr>
            <w:r w:rsidRPr="00490F0F"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 w:rsidR="007F0763">
              <w:rPr>
                <w:rFonts w:ascii="Times New Roman" w:eastAsiaTheme="minorEastAsia" w:hAnsi="Times New Roman"/>
                <w:szCs w:val="24"/>
                <w:lang w:val="en-US"/>
              </w:rPr>
              <w:t>II</w:t>
            </w:r>
            <w:r w:rsidRPr="00490F0F">
              <w:rPr>
                <w:rFonts w:ascii="Times New Roman" w:eastAsiaTheme="minorEastAsia" w:hAnsi="Times New Roman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  <w:p w:rsidR="00CF35A5" w:rsidRPr="00CF35A5" w:rsidRDefault="00CF35A5" w:rsidP="007F0763">
            <w:pPr>
              <w:rPr>
                <w:rFonts w:ascii="Times New Roman" w:hAnsi="Times New Roman"/>
                <w:szCs w:val="24"/>
              </w:rPr>
            </w:pPr>
            <w:r w:rsidRPr="00CF35A5">
              <w:rPr>
                <w:rFonts w:eastAsiaTheme="minorEastAsia"/>
                <w:szCs w:val="24"/>
              </w:rPr>
              <w:t xml:space="preserve">Подпрограмма </w:t>
            </w:r>
            <w:r w:rsidR="007F0763">
              <w:rPr>
                <w:rFonts w:eastAsiaTheme="minorEastAsia"/>
                <w:szCs w:val="24"/>
                <w:lang w:val="en-US"/>
              </w:rPr>
              <w:t>IV</w:t>
            </w:r>
            <w:r w:rsidRPr="00CF35A5">
              <w:rPr>
                <w:rFonts w:eastAsiaTheme="minorEastAsia"/>
                <w:szCs w:val="24"/>
              </w:rPr>
              <w:t xml:space="preserve"> «Обеспечивающая подпрограмма»</w:t>
            </w:r>
          </w:p>
        </w:tc>
      </w:tr>
      <w:tr w:rsidR="009032BD" w:rsidRPr="0031378B" w:rsidTr="00482D08">
        <w:trPr>
          <w:trHeight w:val="39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0035C8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(</w:t>
            </w:r>
            <w:r w:rsidR="009032BD" w:rsidRPr="0031378B">
              <w:rPr>
                <w:rFonts w:ascii="Times New Roman" w:hAnsi="Times New Roman"/>
                <w:szCs w:val="24"/>
              </w:rPr>
              <w:t>тыс. рублей)</w:t>
            </w:r>
          </w:p>
        </w:tc>
      </w:tr>
      <w:tr w:rsidR="007F0763" w:rsidRPr="0031378B" w:rsidTr="00482D08">
        <w:trPr>
          <w:trHeight w:val="76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763" w:rsidRPr="0031378B" w:rsidRDefault="007F0763" w:rsidP="007F07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31378B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</w:tr>
      <w:tr w:rsidR="00DC23FA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FA" w:rsidRPr="0050377D" w:rsidRDefault="00DC23FA" w:rsidP="00DC23FA">
            <w:pPr>
              <w:rPr>
                <w:rFonts w:ascii="Times New Roman" w:hAnsi="Times New Roman"/>
                <w:szCs w:val="24"/>
              </w:rPr>
            </w:pPr>
            <w:r w:rsidRPr="00B50370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482D08" w:rsidP="00DF55C2">
            <w:pPr>
              <w:ind w:left="-216"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="00DC23FA" w:rsidRPr="00DC23FA">
              <w:rPr>
                <w:rFonts w:ascii="Times New Roman" w:hAnsi="Times New Roman"/>
              </w:rPr>
              <w:t>12</w:t>
            </w:r>
            <w:r w:rsidR="00DC23FA">
              <w:rPr>
                <w:rFonts w:ascii="Times New Roman" w:hAnsi="Times New Roman"/>
              </w:rPr>
              <w:t xml:space="preserve"> </w:t>
            </w:r>
            <w:r w:rsidR="00DC23FA" w:rsidRPr="00DC23FA">
              <w:rPr>
                <w:rFonts w:ascii="Times New Roman" w:hAnsi="Times New Roman"/>
              </w:rPr>
              <w:t>801,0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C23FA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3FA" w:rsidRPr="0050377D" w:rsidRDefault="00DC23FA" w:rsidP="00DC23FA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482D08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49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3F69">
              <w:rPr>
                <w:rFonts w:ascii="Times New Roman" w:hAnsi="Times New Roman"/>
                <w:bCs/>
                <w:szCs w:val="24"/>
              </w:rPr>
              <w:t>7</w:t>
            </w:r>
            <w:r w:rsidR="00E7377F">
              <w:rPr>
                <w:rFonts w:ascii="Times New Roman" w:hAnsi="Times New Roman"/>
                <w:bCs/>
                <w:szCs w:val="24"/>
              </w:rPr>
              <w:t>37</w:t>
            </w:r>
            <w:r w:rsidRPr="00DC23FA">
              <w:rPr>
                <w:rFonts w:ascii="Times New Roman" w:hAnsi="Times New Roman"/>
                <w:bCs/>
                <w:szCs w:val="24"/>
              </w:rPr>
              <w:t>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873F69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16</w:t>
            </w:r>
            <w:r w:rsidR="00E7377F">
              <w:rPr>
                <w:rFonts w:ascii="Times New Roman" w:hAnsi="Times New Roman"/>
                <w:bCs/>
                <w:szCs w:val="24"/>
              </w:rPr>
              <w:t> </w:t>
            </w:r>
            <w:r w:rsidR="00873F69">
              <w:rPr>
                <w:rFonts w:ascii="Times New Roman" w:hAnsi="Times New Roman"/>
                <w:bCs/>
                <w:szCs w:val="24"/>
              </w:rPr>
              <w:t>4</w:t>
            </w:r>
            <w:r w:rsidR="00E7377F">
              <w:rPr>
                <w:rFonts w:ascii="Times New Roman" w:hAnsi="Times New Roman"/>
                <w:bCs/>
                <w:szCs w:val="24"/>
              </w:rPr>
              <w:t>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16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16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655,9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C23FA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FA" w:rsidRPr="0050377D" w:rsidRDefault="00DC23FA" w:rsidP="00DC23FA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 xml:space="preserve">Всего, в том числе по </w:t>
            </w:r>
            <w:r w:rsidRPr="0050377D">
              <w:rPr>
                <w:rFonts w:ascii="Times New Roman" w:hAnsi="Times New Roman"/>
                <w:szCs w:val="24"/>
              </w:rPr>
              <w:lastRenderedPageBreak/>
              <w:t>годам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FA" w:rsidRPr="00E7377F" w:rsidRDefault="00DC23FA" w:rsidP="00E7377F">
            <w:pPr>
              <w:ind w:left="-10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 w:rsidRPr="00DF55C2">
              <w:lastRenderedPageBreak/>
              <w:t>62</w:t>
            </w:r>
            <w:r w:rsidR="00873F69">
              <w:rPr>
                <w:lang w:val="en-US"/>
              </w:rPr>
              <w:t> 5</w:t>
            </w:r>
            <w:r w:rsidR="00E7377F">
              <w:rPr>
                <w:lang w:val="en-US"/>
              </w:rPr>
              <w:t>38</w:t>
            </w:r>
            <w:r w:rsidR="00E7377F">
              <w:rPr>
                <w:rFonts w:asciiTheme="minorHAnsi" w:hAnsiTheme="minorHAnsi"/>
              </w:rPr>
              <w:t>,</w:t>
            </w:r>
            <w:r w:rsidR="00E7377F">
              <w:rPr>
                <w:lang w:val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E7377F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20</w:t>
            </w:r>
            <w:r w:rsidR="00E7377F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="00873F69">
              <w:rPr>
                <w:rFonts w:ascii="Times New Roman" w:hAnsi="Times New Roman"/>
                <w:bCs/>
                <w:szCs w:val="24"/>
              </w:rPr>
              <w:t>6</w:t>
            </w:r>
            <w:r w:rsidR="00E7377F">
              <w:rPr>
                <w:rFonts w:ascii="Times New Roman" w:hAnsi="Times New Roman"/>
                <w:bCs/>
                <w:szCs w:val="24"/>
              </w:rPr>
              <w:t>92,9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20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Pr="00DC23FA">
              <w:rPr>
                <w:rFonts w:ascii="Times New Roman" w:hAnsi="Times New Roman"/>
                <w:bCs/>
                <w:szCs w:val="24"/>
              </w:rPr>
              <w:t>922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DC23FA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20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Pr="00DC23FA">
              <w:rPr>
                <w:rFonts w:ascii="Times New Roman" w:hAnsi="Times New Roman"/>
                <w:bCs/>
                <w:szCs w:val="24"/>
              </w:rPr>
              <w:t>922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DC23FA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9032BD" w:rsidRPr="00142DC3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proofErr w:type="gramStart"/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Программа разработана в</w:t>
      </w:r>
      <w:r w:rsidR="00B34CAB"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соответствии с </w:t>
      </w:r>
      <w:r w:rsidR="00142DC3" w:rsidRPr="00142DC3">
        <w:rPr>
          <w:rFonts w:ascii="Times New Roman" w:hAnsi="Times New Roman"/>
          <w:szCs w:val="28"/>
        </w:rPr>
        <w:t>Бюджетным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Федерации, Градостроительны</w:t>
      </w:r>
      <w:r w:rsidR="00142DC3" w:rsidRPr="00142DC3">
        <w:rPr>
          <w:rFonts w:ascii="Times New Roman" w:hAnsi="Times New Roman"/>
          <w:szCs w:val="28"/>
        </w:rPr>
        <w:t>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</w:t>
      </w:r>
      <w:r w:rsidR="00142DC3" w:rsidRPr="00142DC3">
        <w:rPr>
          <w:rFonts w:ascii="Times New Roman" w:hAnsi="Times New Roman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</w:t>
      </w:r>
      <w:proofErr w:type="gramEnd"/>
      <w:r w:rsidR="00142DC3" w:rsidRPr="00142DC3">
        <w:rPr>
          <w:rFonts w:ascii="Times New Roman" w:hAnsi="Times New Roman"/>
          <w:szCs w:val="28"/>
        </w:rPr>
        <w:t xml:space="preserve">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</w:t>
      </w: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Целью программы </w:t>
      </w:r>
      <w:r w:rsidR="007C5D5F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является о</w:t>
      </w:r>
      <w:r w:rsidR="007C5D5F" w:rsidRPr="00DA4C64">
        <w:rPr>
          <w:rFonts w:ascii="Times New Roman" w:hAnsi="Times New Roman"/>
          <w:szCs w:val="24"/>
        </w:rPr>
        <w:t xml:space="preserve">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</w:r>
      <w:r w:rsidR="007C5D5F" w:rsidRPr="00DA4C64">
        <w:rPr>
          <w:rFonts w:ascii="Times New Roman" w:hAnsi="Times New Roman"/>
          <w:bCs/>
          <w:szCs w:val="24"/>
        </w:rPr>
        <w:t>формирование условий для устойчивого градостроительного развития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1. </w:t>
      </w:r>
      <w:r w:rsid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условиях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округа, результатом которой станет снижение интереса потенциальных инвесторов к территории. Ошибки и недочеты генерального плана 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случае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территориального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8677A3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8677A3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В состав Программы входят следующие подпрограммы (Пас</w:t>
      </w:r>
      <w:r w:rsidR="007D2C80">
        <w:rPr>
          <w:rFonts w:ascii="Times New Roman" w:eastAsia="Calibri" w:hAnsi="Times New Roman"/>
          <w:szCs w:val="24"/>
          <w:lang w:eastAsia="en-US"/>
        </w:rPr>
        <w:t xml:space="preserve">порта подпрограмм </w:t>
      </w:r>
      <w:proofErr w:type="gramStart"/>
      <w:r w:rsidR="007D2C80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="007D2C80">
        <w:rPr>
          <w:rFonts w:ascii="Times New Roman" w:eastAsia="Calibri" w:hAnsi="Times New Roman"/>
          <w:szCs w:val="24"/>
          <w:lang w:eastAsia="en-US"/>
        </w:rPr>
        <w:t>риложение №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>1</w:t>
      </w:r>
      <w:r w:rsidRPr="0031378B">
        <w:rPr>
          <w:rFonts w:ascii="Times New Roman" w:eastAsia="Calibri" w:hAnsi="Times New Roman"/>
          <w:szCs w:val="24"/>
          <w:lang w:eastAsia="en-US"/>
        </w:rPr>
        <w:t>):</w:t>
      </w:r>
    </w:p>
    <w:p w:rsidR="009032BD" w:rsidRDefault="009032BD" w:rsidP="009032B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Подпрограмма I – «</w:t>
      </w:r>
      <w:r w:rsidR="00435B51" w:rsidRPr="00490F0F">
        <w:rPr>
          <w:rFonts w:ascii="Times New Roman" w:eastAsiaTheme="minorEastAsia" w:hAnsi="Times New Roman"/>
          <w:szCs w:val="24"/>
        </w:rPr>
        <w:t>Разработка Генерального плана развития городского округа</w:t>
      </w:r>
      <w:r w:rsidRPr="0031378B">
        <w:rPr>
          <w:rFonts w:ascii="Times New Roman" w:eastAsia="Calibri" w:hAnsi="Times New Roman"/>
          <w:szCs w:val="24"/>
          <w:lang w:eastAsia="en-US"/>
        </w:rPr>
        <w:t xml:space="preserve">» (далее – подпрограмма </w:t>
      </w:r>
      <w:r w:rsidR="007D2C80">
        <w:rPr>
          <w:rFonts w:ascii="Times New Roman" w:eastAsia="Calibri" w:hAnsi="Times New Roman"/>
          <w:szCs w:val="24"/>
          <w:lang w:val="en-US" w:eastAsia="en-US"/>
        </w:rPr>
        <w:t>I</w:t>
      </w:r>
      <w:r w:rsidRPr="0031378B">
        <w:rPr>
          <w:rFonts w:ascii="Times New Roman" w:eastAsia="Calibri" w:hAnsi="Times New Roman"/>
          <w:szCs w:val="24"/>
          <w:lang w:eastAsia="en-US"/>
        </w:rPr>
        <w:t>).</w:t>
      </w:r>
    </w:p>
    <w:p w:rsidR="00F56A43" w:rsidRDefault="00F56A43" w:rsidP="00F56A43">
      <w:pPr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Cs w:val="24"/>
          <w:lang w:eastAsia="en-US"/>
        </w:rPr>
        <w:t>Выполнение мероприятий по разработке генерального плана городского округа Домодедово для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учет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новых экономических условий, задач социально-экономического развития, не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обходимости привлечения в городских округ крупных инвесторов.</w:t>
      </w:r>
      <w:proofErr w:type="gramEnd"/>
    </w:p>
    <w:p w:rsidR="00435B51" w:rsidRDefault="00435B51" w:rsidP="00435B51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Theme="minorEastAsia" w:hAnsi="Times New Roman"/>
          <w:szCs w:val="24"/>
        </w:rPr>
        <w:t xml:space="preserve">            </w:t>
      </w:r>
      <w:r w:rsidR="007D2C80">
        <w:rPr>
          <w:rFonts w:ascii="Times New Roman" w:eastAsiaTheme="minorEastAsia" w:hAnsi="Times New Roman"/>
          <w:szCs w:val="24"/>
        </w:rPr>
        <w:t xml:space="preserve">Подпрограмма </w:t>
      </w:r>
      <w:r w:rsidR="007D2C80">
        <w:rPr>
          <w:rFonts w:ascii="Times New Roman" w:eastAsiaTheme="minorEastAsia" w:hAnsi="Times New Roman"/>
          <w:szCs w:val="24"/>
          <w:lang w:val="en-US"/>
        </w:rPr>
        <w:t>II</w:t>
      </w:r>
      <w:r w:rsidRPr="00490F0F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Pr="00490F0F">
        <w:rPr>
          <w:rFonts w:ascii="Times New Roman" w:eastAsiaTheme="minorEastAsia" w:hAnsi="Times New Roman"/>
          <w:szCs w:val="24"/>
        </w:rPr>
        <w:t>«Реализация политики пространственного развития городского округа»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31378B">
        <w:rPr>
          <w:rFonts w:ascii="Times New Roman" w:eastAsia="Calibri" w:hAnsi="Times New Roman"/>
          <w:szCs w:val="24"/>
          <w:lang w:eastAsia="en-US"/>
        </w:rPr>
        <w:t>(далее – подпр</w:t>
      </w:r>
      <w:r>
        <w:rPr>
          <w:rFonts w:ascii="Times New Roman" w:eastAsia="Calibri" w:hAnsi="Times New Roman"/>
          <w:szCs w:val="24"/>
          <w:lang w:eastAsia="en-US"/>
        </w:rPr>
        <w:t>ограмма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 xml:space="preserve"> </w:t>
      </w:r>
      <w:r w:rsidR="007D2C80">
        <w:rPr>
          <w:rFonts w:ascii="Times New Roman" w:eastAsia="Calibri" w:hAnsi="Times New Roman"/>
          <w:szCs w:val="24"/>
          <w:lang w:val="en-US" w:eastAsia="en-US"/>
        </w:rPr>
        <w:t>II</w:t>
      </w:r>
      <w:r w:rsidRPr="0031378B">
        <w:rPr>
          <w:rFonts w:ascii="Times New Roman" w:eastAsia="Calibri" w:hAnsi="Times New Roman"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F56A43" w:rsidRPr="0031378B" w:rsidRDefault="00F56A43" w:rsidP="00435B51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Выполнение мероприятий на </w:t>
      </w:r>
      <w:r>
        <w:rPr>
          <w:rFonts w:ascii="Times New Roman" w:hAnsi="Times New Roman"/>
          <w:szCs w:val="24"/>
        </w:rPr>
        <w:t xml:space="preserve">обеспечение </w:t>
      </w:r>
      <w:r w:rsidRPr="00DA4C64">
        <w:rPr>
          <w:rFonts w:ascii="Times New Roman" w:hAnsi="Times New Roman"/>
          <w:szCs w:val="24"/>
        </w:rPr>
        <w:t>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</w:t>
      </w:r>
      <w:r>
        <w:rPr>
          <w:rFonts w:ascii="Times New Roman" w:hAnsi="Times New Roman"/>
          <w:szCs w:val="24"/>
        </w:rPr>
        <w:t>.</w:t>
      </w:r>
    </w:p>
    <w:p w:rsidR="00435B51" w:rsidRDefault="007D2C80" w:rsidP="009032BD">
      <w:pPr>
        <w:ind w:firstLine="709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="00683DF3" w:rsidRPr="00683DF3">
        <w:rPr>
          <w:rFonts w:ascii="Times New Roman" w:eastAsiaTheme="minorEastAsia" w:hAnsi="Times New Roman"/>
          <w:szCs w:val="24"/>
        </w:rPr>
        <w:t xml:space="preserve">«Обеспечивающая подпрограмма» (далее – 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>).</w:t>
      </w:r>
      <w:r w:rsidR="00F56A43">
        <w:rPr>
          <w:rFonts w:ascii="Times New Roman" w:eastAsiaTheme="minorEastAsia" w:hAnsi="Times New Roman"/>
          <w:szCs w:val="24"/>
        </w:rPr>
        <w:t xml:space="preserve"> </w:t>
      </w:r>
    </w:p>
    <w:p w:rsidR="00F56A43" w:rsidRPr="00F56A43" w:rsidRDefault="00F56A43" w:rsidP="00F56A43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Выполнение мероприятий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по с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оздани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ю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условий для реализации полномочий органов местного самоуправления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lastRenderedPageBreak/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5. Планируемые результаты реализации 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муниципальной 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программы</w:t>
      </w:r>
    </w:p>
    <w:p w:rsidR="009032BD" w:rsidRPr="0031378B" w:rsidRDefault="00F56A43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, необходимых для реализации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66C07" w:rsidRPr="008E2B13" w:rsidTr="007D2C80">
        <w:trPr>
          <w:trHeight w:val="276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№</w:t>
            </w:r>
          </w:p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proofErr w:type="gramStart"/>
            <w:r w:rsidRPr="008E2B13">
              <w:rPr>
                <w:rFonts w:eastAsiaTheme="minorEastAsia"/>
                <w:sz w:val="20"/>
              </w:rPr>
              <w:t>п</w:t>
            </w:r>
            <w:proofErr w:type="gramEnd"/>
            <w:r w:rsidRPr="008E2B13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Единица измерения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Период представления отчетности</w:t>
            </w:r>
          </w:p>
        </w:tc>
      </w:tr>
      <w:tr w:rsidR="00066C07" w:rsidRPr="008E2B13" w:rsidTr="007D2C80">
        <w:trPr>
          <w:trHeight w:val="28"/>
        </w:trPr>
        <w:tc>
          <w:tcPr>
            <w:tcW w:w="567" w:type="dxa"/>
          </w:tcPr>
          <w:p w:rsidR="00066C07" w:rsidRPr="007D2C80" w:rsidRDefault="007D2C80" w:rsidP="007D2C8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1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70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6</w:t>
            </w:r>
          </w:p>
        </w:tc>
      </w:tr>
      <w:tr w:rsidR="00066C07" w:rsidRPr="008E2B13" w:rsidTr="007D2C8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Подпрограмма 1 «</w:t>
            </w:r>
            <w:r>
              <w:rPr>
                <w:rFonts w:eastAsiaTheme="minorEastAsia"/>
                <w:i/>
                <w:sz w:val="22"/>
              </w:rPr>
              <w:t>Разработка Генерального плана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25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>Показатель 1</w:t>
            </w:r>
            <w:r>
              <w:rPr>
                <w:rFonts w:eastAsiaTheme="minorEastAsia"/>
                <w:i/>
                <w:szCs w:val="24"/>
              </w:rPr>
              <w:t>.</w:t>
            </w:r>
            <w:r w:rsidRPr="006B0556">
              <w:rPr>
                <w:i/>
                <w:sz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spacing w:before="100" w:after="100"/>
              <w:ind w:left="60" w:right="60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 </w:t>
            </w:r>
            <w:r>
              <w:rPr>
                <w:i/>
                <w:sz w:val="20"/>
              </w:rPr>
              <w:t>внесение изменений в генеральный план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Pr="00275D6D">
              <w:rPr>
                <w:i/>
                <w:sz w:val="20"/>
              </w:rPr>
              <w:t xml:space="preserve"> Московской области 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городского округа </w:t>
            </w:r>
            <w:r w:rsidR="0079298B" w:rsidRP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Домодедово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Московской области 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внесение изменений в генеральный план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rPr>
                <w:rFonts w:eastAsiaTheme="minorEastAsia"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>2.</w:t>
            </w:r>
            <w:r w:rsidRPr="006B0556">
              <w:rPr>
                <w:i/>
                <w:sz w:val="20"/>
              </w:rPr>
              <w:t xml:space="preserve"> 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в актуальной версии </w:t>
            </w:r>
            <w:r>
              <w:rPr>
                <w:i/>
                <w:sz w:val="20"/>
              </w:rPr>
              <w:t>Правил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 (внесение изменений в </w:t>
            </w:r>
            <w:r>
              <w:rPr>
                <w:i/>
                <w:sz w:val="20"/>
              </w:rPr>
              <w:t xml:space="preserve">Правила </w:t>
            </w:r>
            <w:r>
              <w:rPr>
                <w:i/>
                <w:sz w:val="20"/>
              </w:rPr>
              <w:lastRenderedPageBreak/>
              <w:t>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об </w:t>
            </w:r>
            <w:r>
              <w:rPr>
                <w:i/>
                <w:sz w:val="20"/>
              </w:rPr>
              <w:t>внесение изменений в Правила землепользования и застройки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</w:t>
            </w:r>
            <w:r w:rsidR="0079298B" w:rsidRPr="00275D6D">
              <w:rPr>
                <w:i/>
                <w:sz w:val="20"/>
              </w:rPr>
              <w:lastRenderedPageBreak/>
              <w:t>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lastRenderedPageBreak/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275D6D">
              <w:rPr>
                <w:rFonts w:ascii="Times New Roman" w:hAnsi="Times New Roman" w:cs="Times New Roman"/>
                <w:i/>
                <w:sz w:val="20"/>
              </w:rPr>
              <w:t xml:space="preserve">о </w:t>
            </w:r>
            <w:r>
              <w:rPr>
                <w:rFonts w:cs="Times New Roman"/>
                <w:i/>
                <w:sz w:val="20"/>
              </w:rPr>
              <w:t xml:space="preserve">внесение изменений в Правила землепользования и </w:t>
            </w:r>
            <w:r w:rsidR="0079298B">
              <w:rPr>
                <w:rFonts w:cs="Times New Roman"/>
                <w:i/>
                <w:sz w:val="20"/>
              </w:rPr>
              <w:t xml:space="preserve">застройки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округа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lastRenderedPageBreak/>
              <w:t>3.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 xml:space="preserve">3. </w:t>
            </w:r>
            <w:r w:rsidRPr="006B0556">
              <w:rPr>
                <w:i/>
                <w:sz w:val="20"/>
              </w:rPr>
              <w:t>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нормативов градостроительного проектирования </w:t>
            </w:r>
            <w:r w:rsidRPr="006B0556">
              <w:rPr>
                <w:i/>
                <w:sz w:val="20"/>
              </w:rPr>
              <w:t xml:space="preserve">городского округа (внесение изменений в </w:t>
            </w:r>
            <w:r>
              <w:rPr>
                <w:i/>
                <w:sz w:val="20"/>
              </w:rPr>
              <w:t xml:space="preserve">нормативы градостроительного проектирования </w:t>
            </w:r>
            <w:r w:rsidRPr="006B0556">
              <w:rPr>
                <w:i/>
                <w:sz w:val="20"/>
              </w:rPr>
              <w:t>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="00B61947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cs="Times New Roman"/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cs="Times New Roman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 w:rsidRPr="00F8388D">
              <w:rPr>
                <w:szCs w:val="24"/>
              </w:rPr>
              <w:t xml:space="preserve">Подпрограмма </w:t>
            </w:r>
            <w:r w:rsidR="007D2C80">
              <w:rPr>
                <w:szCs w:val="24"/>
                <w:lang w:val="en-US"/>
              </w:rPr>
              <w:t>II</w:t>
            </w:r>
            <w:r w:rsidRPr="00F8388D">
              <w:rPr>
                <w:szCs w:val="24"/>
              </w:rPr>
              <w:t xml:space="preserve"> </w:t>
            </w:r>
            <w:r>
              <w:rPr>
                <w:rFonts w:eastAsiaTheme="minorEastAsia"/>
                <w:i/>
                <w:szCs w:val="24"/>
              </w:rPr>
              <w:t>«</w:t>
            </w:r>
            <w:r>
              <w:rPr>
                <w:rFonts w:eastAsiaTheme="minorEastAsia"/>
                <w:i/>
                <w:sz w:val="22"/>
              </w:rPr>
              <w:t>Реализация политики пространственного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39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 w:rsidRPr="004A56F8">
              <w:rPr>
                <w:i/>
                <w:sz w:val="20"/>
              </w:rPr>
              <w:t xml:space="preserve">1 Количество ликвидированных 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1217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При расчете значения показателя применяются данные о количестве</w:t>
            </w:r>
            <w:r>
              <w:rPr>
                <w:i/>
                <w:sz w:val="20"/>
              </w:rPr>
              <w:t xml:space="preserve"> </w:t>
            </w:r>
            <w:r w:rsidRPr="0036139B">
              <w:rPr>
                <w:i/>
                <w:sz w:val="20"/>
              </w:rPr>
              <w:t xml:space="preserve">ликвидированных </w:t>
            </w:r>
            <w:r w:rsidRPr="004A56F8">
              <w:rPr>
                <w:i/>
                <w:sz w:val="20"/>
              </w:rPr>
              <w:t xml:space="preserve">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442E15">
              <w:rPr>
                <w:i/>
                <w:sz w:val="20"/>
              </w:rPr>
              <w:t>за отчетный период</w:t>
            </w:r>
          </w:p>
        </w:tc>
        <w:tc>
          <w:tcPr>
            <w:tcW w:w="4111" w:type="dxa"/>
          </w:tcPr>
          <w:p w:rsidR="00066C07" w:rsidRPr="003E63DB" w:rsidRDefault="003E63DB" w:rsidP="007D2C8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Cs w:val="24"/>
                <w:highlight w:val="yellow"/>
              </w:rPr>
            </w:pPr>
            <w:r w:rsidRPr="003E63DB">
              <w:rPr>
                <w:rFonts w:ascii="Times New Roman" w:hAnsi="Times New Roman"/>
                <w:i/>
                <w:sz w:val="20"/>
              </w:rPr>
              <w:t>Администрация городского округа Домодедово, Главное управление государственного строительного надзора М.О., Министерство Жилищной политики М.О., Министерство имущественных отношений М.О.</w:t>
            </w:r>
          </w:p>
        </w:tc>
        <w:tc>
          <w:tcPr>
            <w:tcW w:w="1701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</w:tbl>
    <w:p w:rsidR="00AE163A" w:rsidRDefault="00AE163A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1" w:name="RANGE!A1:J23"/>
      <w:bookmarkEnd w:id="1"/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78750A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701"/>
        <w:gridCol w:w="1339"/>
        <w:gridCol w:w="1320"/>
        <w:gridCol w:w="1339"/>
        <w:gridCol w:w="1496"/>
        <w:gridCol w:w="1437"/>
        <w:gridCol w:w="1436"/>
      </w:tblGrid>
      <w:tr w:rsidR="009032BD" w:rsidRPr="0031378B" w:rsidTr="005B7D00">
        <w:trPr>
          <w:trHeight w:val="42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2" w:name="RANGE!A1:I9"/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C40198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>к муниципальной программе городского округа Домодедово «Архитектура и градостроительство</w:t>
            </w:r>
            <w:r w:rsidR="0078750A">
              <w:rPr>
                <w:rFonts w:ascii="Times New Roman" w:hAnsi="Times New Roman"/>
                <w:sz w:val="18"/>
                <w:szCs w:val="18"/>
              </w:rPr>
              <w:t>»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Утвержденной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постановлением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городского округа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="003D425D">
              <w:rPr>
                <w:rFonts w:ascii="Times New Roman" w:hAnsi="Times New Roman"/>
                <w:sz w:val="18"/>
                <w:szCs w:val="18"/>
              </w:rPr>
              <w:t xml:space="preserve"> 1449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425D">
              <w:rPr>
                <w:rFonts w:ascii="Times New Roman" w:hAnsi="Times New Roman"/>
                <w:sz w:val="18"/>
                <w:szCs w:val="18"/>
              </w:rPr>
              <w:t>14.07.2020</w:t>
            </w:r>
          </w:p>
        </w:tc>
      </w:tr>
      <w:tr w:rsidR="009032BD" w:rsidRPr="0031378B" w:rsidTr="005B7D00">
        <w:trPr>
          <w:trHeight w:val="17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5B7D00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7D2C80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 w:rsidR="005B7D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D2C8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</w:tr>
      <w:tr w:rsidR="009032BD" w:rsidRPr="0031378B" w:rsidTr="005B7D00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5B7D00" w:rsidRPr="000835C2">
              <w:rPr>
                <w:rFonts w:ascii="Times New Roman" w:hAnsi="Times New Roman"/>
                <w:szCs w:val="24"/>
              </w:rPr>
              <w:t>Разработка Генерального плана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9032BD" w:rsidRPr="0031378B" w:rsidTr="005B7D00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5B7D00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7D2C80" w:rsidRPr="0031378B" w:rsidTr="005B7D00">
        <w:trPr>
          <w:trHeight w:val="102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C80" w:rsidRPr="0031378B" w:rsidRDefault="007D2C80" w:rsidP="007D2C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E383E" w:rsidRPr="0031378B" w:rsidTr="005B7D00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83E" w:rsidRPr="0031378B" w:rsidRDefault="000E383E" w:rsidP="005B7D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8677A3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E383E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E383E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3 000,0</w:t>
            </w:r>
          </w:p>
        </w:tc>
      </w:tr>
      <w:tr w:rsidR="009C2963" w:rsidRPr="0031378B" w:rsidTr="005B7D00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3 000,0</w:t>
            </w:r>
          </w:p>
        </w:tc>
      </w:tr>
    </w:tbl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0035C8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8"/>
        <w:gridCol w:w="11"/>
        <w:gridCol w:w="1984"/>
        <w:gridCol w:w="1701"/>
        <w:gridCol w:w="7"/>
        <w:gridCol w:w="1332"/>
        <w:gridCol w:w="8"/>
        <w:gridCol w:w="1384"/>
        <w:gridCol w:w="1417"/>
        <w:gridCol w:w="1334"/>
        <w:gridCol w:w="12"/>
        <w:gridCol w:w="1437"/>
        <w:gridCol w:w="8"/>
        <w:gridCol w:w="1428"/>
      </w:tblGrid>
      <w:tr w:rsidR="000035C8" w:rsidRPr="0031378B" w:rsidTr="009C2963">
        <w:trPr>
          <w:trHeight w:val="42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3" w:name="RANGE!A1:K20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9C2963">
        <w:trPr>
          <w:trHeight w:val="17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5005F9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AE163A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0035C8" w:rsidRPr="0031378B" w:rsidTr="005005F9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490F0F">
              <w:rPr>
                <w:rFonts w:ascii="Times New Roman" w:eastAsiaTheme="minorEastAsia" w:hAnsi="Times New Roman"/>
                <w:szCs w:val="24"/>
              </w:rPr>
              <w:t>Реализация политики пространственного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0035C8" w:rsidRPr="0031378B" w:rsidTr="005005F9">
        <w:trPr>
          <w:trHeight w:val="510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0035C8" w:rsidRPr="0031378B" w:rsidTr="005005F9">
        <w:trPr>
          <w:trHeight w:val="300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AE163A" w:rsidRPr="0031378B" w:rsidTr="009C2963">
        <w:trPr>
          <w:trHeight w:val="102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63A" w:rsidRPr="0031378B" w:rsidRDefault="00AE163A" w:rsidP="00AE16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035C8" w:rsidRPr="0031378B" w:rsidTr="009C2963">
        <w:trPr>
          <w:trHeight w:val="51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0035C8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0035C8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14 801,4</w:t>
            </w:r>
          </w:p>
        </w:tc>
      </w:tr>
      <w:tr w:rsidR="00AE163A" w:rsidRPr="0031378B" w:rsidTr="00AD22E4">
        <w:trPr>
          <w:trHeight w:val="108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AE163A" w:rsidRDefault="00AE163A" w:rsidP="00AE163A">
            <w:pPr>
              <w:ind w:left="-71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 4 267,0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4 267,0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 4 267,0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 12 801,0</w:t>
            </w:r>
          </w:p>
        </w:tc>
      </w:tr>
      <w:tr w:rsidR="00AE163A" w:rsidTr="0024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978" w:type="dxa"/>
          </w:tcPr>
          <w:p w:rsidR="00AE163A" w:rsidRPr="0031378B" w:rsidRDefault="00AE163A" w:rsidP="00AE163A">
            <w:pPr>
              <w:ind w:left="-93" w:right="283"/>
              <w:jc w:val="both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995" w:type="dxa"/>
            <w:gridSpan w:val="2"/>
          </w:tcPr>
          <w:p w:rsidR="00AE163A" w:rsidRDefault="00AE163A" w:rsidP="00AE163A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708" w:type="dxa"/>
            <w:gridSpan w:val="2"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40" w:type="dxa"/>
            <w:gridSpan w:val="2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84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417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34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57" w:type="dxa"/>
            <w:gridSpan w:val="3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2 000,4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880"/>
        <w:gridCol w:w="1160"/>
        <w:gridCol w:w="1392"/>
        <w:gridCol w:w="1417"/>
        <w:gridCol w:w="1346"/>
        <w:gridCol w:w="1437"/>
        <w:gridCol w:w="1436"/>
      </w:tblGrid>
      <w:tr w:rsidR="0078750A" w:rsidRPr="0031378B" w:rsidTr="000C298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AE163A" w:rsidRDefault="0078750A" w:rsidP="000C298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bookmarkStart w:id="4" w:name="_GoBack"/>
            <w:bookmarkEnd w:id="4"/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</w:tr>
      <w:tr w:rsidR="0078750A" w:rsidRPr="0031378B" w:rsidTr="000C2989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31378B" w:rsidRDefault="0078750A" w:rsidP="007875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CF35A5">
              <w:rPr>
                <w:rFonts w:eastAsiaTheme="minorEastAsia"/>
                <w:szCs w:val="24"/>
              </w:rPr>
              <w:t>Обеспечивающая подпрограмма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78750A" w:rsidRPr="0031378B" w:rsidTr="000C2989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78750A" w:rsidRPr="0031378B" w:rsidTr="00C40198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C40198" w:rsidRPr="0031378B" w:rsidTr="00C40198">
        <w:trPr>
          <w:trHeight w:val="70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198" w:rsidRPr="0031378B" w:rsidRDefault="00C40198" w:rsidP="00C401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8750A" w:rsidRPr="0050377D" w:rsidTr="00C40198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085D1E" w:rsidP="00D636D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</w:t>
            </w:r>
            <w:r w:rsidR="004F4EF9">
              <w:rPr>
                <w:rFonts w:ascii="Times New Roman" w:hAnsi="Times New Roman"/>
                <w:bCs/>
                <w:szCs w:val="24"/>
              </w:rPr>
              <w:t>7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9C2963" w:rsidP="00134B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14 98</w:t>
            </w:r>
            <w:r w:rsidR="00134B33">
              <w:rPr>
                <w:rFonts w:ascii="Times New Roman" w:hAnsi="Times New Roman"/>
                <w:bCs/>
                <w:szCs w:val="24"/>
              </w:rPr>
              <w:t>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8677A3" w:rsidRDefault="00134B33" w:rsidP="00085D1E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14 989,1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8750A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8750A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50A" w:rsidRPr="00134B33" w:rsidRDefault="00134B33" w:rsidP="004F4E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44 </w:t>
            </w:r>
            <w:r w:rsidR="004F4EF9">
              <w:rPr>
                <w:rFonts w:ascii="Times New Roman" w:hAnsi="Times New Roman"/>
                <w:bCs/>
                <w:szCs w:val="24"/>
              </w:rPr>
              <w:t>7</w:t>
            </w:r>
            <w:r w:rsidR="008145BF">
              <w:rPr>
                <w:rFonts w:ascii="Times New Roman" w:hAnsi="Times New Roman"/>
                <w:bCs/>
                <w:szCs w:val="24"/>
              </w:rPr>
              <w:t>37</w:t>
            </w:r>
            <w:r>
              <w:rPr>
                <w:rFonts w:ascii="Times New Roman" w:hAnsi="Times New Roman"/>
                <w:bCs/>
                <w:szCs w:val="24"/>
              </w:rPr>
              <w:t>,3</w:t>
            </w:r>
          </w:p>
        </w:tc>
      </w:tr>
      <w:tr w:rsidR="009C2963" w:rsidRPr="0050377D" w:rsidTr="00C40198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D636D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</w:t>
            </w:r>
            <w:r w:rsidR="004F4EF9">
              <w:rPr>
                <w:rFonts w:ascii="Times New Roman" w:hAnsi="Times New Roman"/>
                <w:bCs/>
                <w:szCs w:val="24"/>
              </w:rPr>
              <w:t>7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085D1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14 989,1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134B33" w:rsidP="00085D1E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14 989,1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134B33" w:rsidP="008145B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44 </w:t>
            </w:r>
            <w:r w:rsidR="004F4EF9">
              <w:rPr>
                <w:rFonts w:ascii="Times New Roman" w:hAnsi="Times New Roman"/>
                <w:bCs/>
                <w:szCs w:val="24"/>
              </w:rPr>
              <w:t>7</w:t>
            </w:r>
            <w:r w:rsidR="008145BF">
              <w:rPr>
                <w:rFonts w:ascii="Times New Roman" w:hAnsi="Times New Roman"/>
                <w:bCs/>
                <w:szCs w:val="24"/>
              </w:rPr>
              <w:t>37</w:t>
            </w:r>
            <w:r>
              <w:rPr>
                <w:rFonts w:ascii="Times New Roman" w:hAnsi="Times New Roman"/>
                <w:bCs/>
                <w:szCs w:val="24"/>
              </w:rPr>
              <w:t>,3</w:t>
            </w:r>
          </w:p>
        </w:tc>
      </w:tr>
    </w:tbl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E14629" w:rsidSect="009C2963">
      <w:type w:val="continuous"/>
      <w:pgSz w:w="16838" w:h="11906" w:orient="landscape"/>
      <w:pgMar w:top="156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E6" w:rsidRDefault="00B575E6">
      <w:r>
        <w:separator/>
      </w:r>
    </w:p>
  </w:endnote>
  <w:endnote w:type="continuationSeparator" w:id="0">
    <w:p w:rsidR="00B575E6" w:rsidRDefault="00B5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E6" w:rsidRDefault="00B575E6">
      <w:r>
        <w:separator/>
      </w:r>
    </w:p>
  </w:footnote>
  <w:footnote w:type="continuationSeparator" w:id="0">
    <w:p w:rsidR="00B575E6" w:rsidRDefault="00B5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35C8"/>
    <w:rsid w:val="00007DBE"/>
    <w:rsid w:val="00010582"/>
    <w:rsid w:val="00015FBC"/>
    <w:rsid w:val="00020191"/>
    <w:rsid w:val="00021863"/>
    <w:rsid w:val="000233CA"/>
    <w:rsid w:val="0003045F"/>
    <w:rsid w:val="0003689D"/>
    <w:rsid w:val="00036B70"/>
    <w:rsid w:val="00037BE4"/>
    <w:rsid w:val="0004372D"/>
    <w:rsid w:val="000463B3"/>
    <w:rsid w:val="000572A7"/>
    <w:rsid w:val="0006616A"/>
    <w:rsid w:val="00066C07"/>
    <w:rsid w:val="00071B55"/>
    <w:rsid w:val="00077930"/>
    <w:rsid w:val="00085D1E"/>
    <w:rsid w:val="0009216E"/>
    <w:rsid w:val="000C36FD"/>
    <w:rsid w:val="000C3E6E"/>
    <w:rsid w:val="000E32E6"/>
    <w:rsid w:val="000E383E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4B33"/>
    <w:rsid w:val="0013506B"/>
    <w:rsid w:val="00142DC3"/>
    <w:rsid w:val="00145AC0"/>
    <w:rsid w:val="001553A4"/>
    <w:rsid w:val="0016384F"/>
    <w:rsid w:val="00165B04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131C4"/>
    <w:rsid w:val="002237A2"/>
    <w:rsid w:val="00225B2C"/>
    <w:rsid w:val="002277B8"/>
    <w:rsid w:val="0025633A"/>
    <w:rsid w:val="00265A4A"/>
    <w:rsid w:val="00280AF8"/>
    <w:rsid w:val="00280CFB"/>
    <w:rsid w:val="00291C6A"/>
    <w:rsid w:val="002973FB"/>
    <w:rsid w:val="002A1FA0"/>
    <w:rsid w:val="002A2233"/>
    <w:rsid w:val="002C40C0"/>
    <w:rsid w:val="002C5B40"/>
    <w:rsid w:val="002C7D32"/>
    <w:rsid w:val="002E079E"/>
    <w:rsid w:val="00305C77"/>
    <w:rsid w:val="00311414"/>
    <w:rsid w:val="0031378B"/>
    <w:rsid w:val="00313C8C"/>
    <w:rsid w:val="00315A1D"/>
    <w:rsid w:val="003204D9"/>
    <w:rsid w:val="00355CC6"/>
    <w:rsid w:val="00360C7E"/>
    <w:rsid w:val="00373784"/>
    <w:rsid w:val="00374E49"/>
    <w:rsid w:val="003A494C"/>
    <w:rsid w:val="003A5899"/>
    <w:rsid w:val="003C1725"/>
    <w:rsid w:val="003C528C"/>
    <w:rsid w:val="003D425D"/>
    <w:rsid w:val="003D4DFE"/>
    <w:rsid w:val="003E17DD"/>
    <w:rsid w:val="003E5FC6"/>
    <w:rsid w:val="003E63DB"/>
    <w:rsid w:val="003E7DC4"/>
    <w:rsid w:val="003F1B9E"/>
    <w:rsid w:val="00402242"/>
    <w:rsid w:val="00411BFD"/>
    <w:rsid w:val="004213A2"/>
    <w:rsid w:val="00422C3E"/>
    <w:rsid w:val="00430EB3"/>
    <w:rsid w:val="00431189"/>
    <w:rsid w:val="00435B51"/>
    <w:rsid w:val="004368BE"/>
    <w:rsid w:val="0044176B"/>
    <w:rsid w:val="00442E0E"/>
    <w:rsid w:val="0044702B"/>
    <w:rsid w:val="00450290"/>
    <w:rsid w:val="00464D59"/>
    <w:rsid w:val="004814A7"/>
    <w:rsid w:val="00482D08"/>
    <w:rsid w:val="00490F0F"/>
    <w:rsid w:val="00491D57"/>
    <w:rsid w:val="00493C47"/>
    <w:rsid w:val="004A31A0"/>
    <w:rsid w:val="004A5828"/>
    <w:rsid w:val="004C385F"/>
    <w:rsid w:val="004C6267"/>
    <w:rsid w:val="004C6B9D"/>
    <w:rsid w:val="004C773C"/>
    <w:rsid w:val="004D2285"/>
    <w:rsid w:val="004E1F36"/>
    <w:rsid w:val="004F0EE5"/>
    <w:rsid w:val="004F4D1B"/>
    <w:rsid w:val="004F4EF9"/>
    <w:rsid w:val="004F6940"/>
    <w:rsid w:val="004F7CC9"/>
    <w:rsid w:val="00501267"/>
    <w:rsid w:val="00502339"/>
    <w:rsid w:val="00502E51"/>
    <w:rsid w:val="0050377D"/>
    <w:rsid w:val="00522C78"/>
    <w:rsid w:val="00530BA2"/>
    <w:rsid w:val="00536B2E"/>
    <w:rsid w:val="00536B55"/>
    <w:rsid w:val="00546A0A"/>
    <w:rsid w:val="00552674"/>
    <w:rsid w:val="00554C81"/>
    <w:rsid w:val="00561D5A"/>
    <w:rsid w:val="00562B96"/>
    <w:rsid w:val="0056332A"/>
    <w:rsid w:val="00567292"/>
    <w:rsid w:val="00567FB3"/>
    <w:rsid w:val="00582F3B"/>
    <w:rsid w:val="00594B06"/>
    <w:rsid w:val="00595B2D"/>
    <w:rsid w:val="005B16CA"/>
    <w:rsid w:val="005B7D00"/>
    <w:rsid w:val="005C07AC"/>
    <w:rsid w:val="005C3358"/>
    <w:rsid w:val="005C3C90"/>
    <w:rsid w:val="005D436D"/>
    <w:rsid w:val="005E6ACF"/>
    <w:rsid w:val="005F46B7"/>
    <w:rsid w:val="005F52E2"/>
    <w:rsid w:val="00600A57"/>
    <w:rsid w:val="00603C57"/>
    <w:rsid w:val="006041C4"/>
    <w:rsid w:val="00606999"/>
    <w:rsid w:val="006073C0"/>
    <w:rsid w:val="0061217C"/>
    <w:rsid w:val="00620DCD"/>
    <w:rsid w:val="00622217"/>
    <w:rsid w:val="00633788"/>
    <w:rsid w:val="00636243"/>
    <w:rsid w:val="00636FB5"/>
    <w:rsid w:val="006428B8"/>
    <w:rsid w:val="00645214"/>
    <w:rsid w:val="00657574"/>
    <w:rsid w:val="0066082C"/>
    <w:rsid w:val="00666136"/>
    <w:rsid w:val="006743E1"/>
    <w:rsid w:val="00683DF3"/>
    <w:rsid w:val="00685CE6"/>
    <w:rsid w:val="0068609E"/>
    <w:rsid w:val="00691115"/>
    <w:rsid w:val="00691B62"/>
    <w:rsid w:val="00697ECB"/>
    <w:rsid w:val="006A74DF"/>
    <w:rsid w:val="006B0669"/>
    <w:rsid w:val="006C0831"/>
    <w:rsid w:val="006C17CB"/>
    <w:rsid w:val="006C26FC"/>
    <w:rsid w:val="006D1D0C"/>
    <w:rsid w:val="006E3686"/>
    <w:rsid w:val="006E49D9"/>
    <w:rsid w:val="006F28C9"/>
    <w:rsid w:val="006F6842"/>
    <w:rsid w:val="006F7BB9"/>
    <w:rsid w:val="007007D3"/>
    <w:rsid w:val="00700B17"/>
    <w:rsid w:val="0070160D"/>
    <w:rsid w:val="00705372"/>
    <w:rsid w:val="0070610D"/>
    <w:rsid w:val="00707291"/>
    <w:rsid w:val="00731EB9"/>
    <w:rsid w:val="007454BF"/>
    <w:rsid w:val="007661CF"/>
    <w:rsid w:val="007721C5"/>
    <w:rsid w:val="0078320C"/>
    <w:rsid w:val="007839CF"/>
    <w:rsid w:val="0078750A"/>
    <w:rsid w:val="0079298B"/>
    <w:rsid w:val="007950D4"/>
    <w:rsid w:val="00796384"/>
    <w:rsid w:val="0079736E"/>
    <w:rsid w:val="00797E27"/>
    <w:rsid w:val="007A7AB7"/>
    <w:rsid w:val="007B21BA"/>
    <w:rsid w:val="007C24D9"/>
    <w:rsid w:val="007C5D5F"/>
    <w:rsid w:val="007D2C80"/>
    <w:rsid w:val="007D4AE8"/>
    <w:rsid w:val="007D6072"/>
    <w:rsid w:val="007D72BB"/>
    <w:rsid w:val="007E055E"/>
    <w:rsid w:val="007E4C8A"/>
    <w:rsid w:val="007F0763"/>
    <w:rsid w:val="007F1290"/>
    <w:rsid w:val="007F2D43"/>
    <w:rsid w:val="0081002B"/>
    <w:rsid w:val="008145BF"/>
    <w:rsid w:val="00846BCD"/>
    <w:rsid w:val="00853FB8"/>
    <w:rsid w:val="0086030A"/>
    <w:rsid w:val="0086160E"/>
    <w:rsid w:val="008677A3"/>
    <w:rsid w:val="00872002"/>
    <w:rsid w:val="00872CE7"/>
    <w:rsid w:val="00873F69"/>
    <w:rsid w:val="00875FF6"/>
    <w:rsid w:val="008811DB"/>
    <w:rsid w:val="0088554F"/>
    <w:rsid w:val="00891B37"/>
    <w:rsid w:val="008A0000"/>
    <w:rsid w:val="008B52D8"/>
    <w:rsid w:val="008B6D7E"/>
    <w:rsid w:val="008C3495"/>
    <w:rsid w:val="008C7392"/>
    <w:rsid w:val="008D0EC5"/>
    <w:rsid w:val="008E0057"/>
    <w:rsid w:val="008E7CED"/>
    <w:rsid w:val="008E7F24"/>
    <w:rsid w:val="008F7682"/>
    <w:rsid w:val="00901940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41D6B"/>
    <w:rsid w:val="00944BC1"/>
    <w:rsid w:val="00957DB8"/>
    <w:rsid w:val="00967993"/>
    <w:rsid w:val="00973C1C"/>
    <w:rsid w:val="00993606"/>
    <w:rsid w:val="009962BB"/>
    <w:rsid w:val="009B00B7"/>
    <w:rsid w:val="009B51B6"/>
    <w:rsid w:val="009B5E8D"/>
    <w:rsid w:val="009C2963"/>
    <w:rsid w:val="009C2ED6"/>
    <w:rsid w:val="009C3EF2"/>
    <w:rsid w:val="009D11B4"/>
    <w:rsid w:val="009D41BF"/>
    <w:rsid w:val="009D53CD"/>
    <w:rsid w:val="009D5C47"/>
    <w:rsid w:val="009E1289"/>
    <w:rsid w:val="009F1344"/>
    <w:rsid w:val="009F3D1D"/>
    <w:rsid w:val="009F4C4E"/>
    <w:rsid w:val="00A020D2"/>
    <w:rsid w:val="00A042FD"/>
    <w:rsid w:val="00A10DA7"/>
    <w:rsid w:val="00A3615D"/>
    <w:rsid w:val="00A37E88"/>
    <w:rsid w:val="00A56221"/>
    <w:rsid w:val="00A6052A"/>
    <w:rsid w:val="00A60CB8"/>
    <w:rsid w:val="00A643EC"/>
    <w:rsid w:val="00A76030"/>
    <w:rsid w:val="00A86F92"/>
    <w:rsid w:val="00A947F6"/>
    <w:rsid w:val="00AA0CF9"/>
    <w:rsid w:val="00AA16AF"/>
    <w:rsid w:val="00AA7178"/>
    <w:rsid w:val="00AB29AC"/>
    <w:rsid w:val="00AB6F3B"/>
    <w:rsid w:val="00AB6F5A"/>
    <w:rsid w:val="00AC040B"/>
    <w:rsid w:val="00AC61E6"/>
    <w:rsid w:val="00AD2AB7"/>
    <w:rsid w:val="00AE13A4"/>
    <w:rsid w:val="00AE163A"/>
    <w:rsid w:val="00AE52EA"/>
    <w:rsid w:val="00AE5795"/>
    <w:rsid w:val="00AE6DB7"/>
    <w:rsid w:val="00AF0B58"/>
    <w:rsid w:val="00AF32A2"/>
    <w:rsid w:val="00B115EE"/>
    <w:rsid w:val="00B13E1C"/>
    <w:rsid w:val="00B21721"/>
    <w:rsid w:val="00B24A2F"/>
    <w:rsid w:val="00B3066D"/>
    <w:rsid w:val="00B30EF9"/>
    <w:rsid w:val="00B34CAB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575E6"/>
    <w:rsid w:val="00B6008D"/>
    <w:rsid w:val="00B61947"/>
    <w:rsid w:val="00B8408E"/>
    <w:rsid w:val="00B8542D"/>
    <w:rsid w:val="00B86612"/>
    <w:rsid w:val="00B96BF6"/>
    <w:rsid w:val="00BA430D"/>
    <w:rsid w:val="00BB41EE"/>
    <w:rsid w:val="00BC189D"/>
    <w:rsid w:val="00BC3B5B"/>
    <w:rsid w:val="00BC6985"/>
    <w:rsid w:val="00BD146E"/>
    <w:rsid w:val="00BD73D2"/>
    <w:rsid w:val="00BE21A5"/>
    <w:rsid w:val="00BE291C"/>
    <w:rsid w:val="00BE75DA"/>
    <w:rsid w:val="00C00F3D"/>
    <w:rsid w:val="00C03E2C"/>
    <w:rsid w:val="00C04546"/>
    <w:rsid w:val="00C04839"/>
    <w:rsid w:val="00C04EBC"/>
    <w:rsid w:val="00C12775"/>
    <w:rsid w:val="00C21FAD"/>
    <w:rsid w:val="00C23DDF"/>
    <w:rsid w:val="00C40198"/>
    <w:rsid w:val="00C4509E"/>
    <w:rsid w:val="00C46A75"/>
    <w:rsid w:val="00C53F14"/>
    <w:rsid w:val="00C56910"/>
    <w:rsid w:val="00C644F1"/>
    <w:rsid w:val="00C74250"/>
    <w:rsid w:val="00C77895"/>
    <w:rsid w:val="00C80694"/>
    <w:rsid w:val="00C90114"/>
    <w:rsid w:val="00C910B1"/>
    <w:rsid w:val="00C9550E"/>
    <w:rsid w:val="00C959E3"/>
    <w:rsid w:val="00C97FC5"/>
    <w:rsid w:val="00CB21C4"/>
    <w:rsid w:val="00CC3946"/>
    <w:rsid w:val="00CC6D1F"/>
    <w:rsid w:val="00CD0271"/>
    <w:rsid w:val="00CD36E6"/>
    <w:rsid w:val="00CF35A5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57163"/>
    <w:rsid w:val="00D61B4B"/>
    <w:rsid w:val="00D6303E"/>
    <w:rsid w:val="00D636D1"/>
    <w:rsid w:val="00D6532E"/>
    <w:rsid w:val="00D7285D"/>
    <w:rsid w:val="00D80364"/>
    <w:rsid w:val="00D83F6B"/>
    <w:rsid w:val="00D929D3"/>
    <w:rsid w:val="00D966C1"/>
    <w:rsid w:val="00DA0C18"/>
    <w:rsid w:val="00DA2A72"/>
    <w:rsid w:val="00DA4C64"/>
    <w:rsid w:val="00DA5EB5"/>
    <w:rsid w:val="00DC23FA"/>
    <w:rsid w:val="00DC2B80"/>
    <w:rsid w:val="00DC43DD"/>
    <w:rsid w:val="00DC4B92"/>
    <w:rsid w:val="00DD5360"/>
    <w:rsid w:val="00DF55C2"/>
    <w:rsid w:val="00DF5A21"/>
    <w:rsid w:val="00DF61A2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7377F"/>
    <w:rsid w:val="00E95074"/>
    <w:rsid w:val="00E956D6"/>
    <w:rsid w:val="00EA6A4A"/>
    <w:rsid w:val="00EB0154"/>
    <w:rsid w:val="00EB6E2A"/>
    <w:rsid w:val="00EC6319"/>
    <w:rsid w:val="00EE1122"/>
    <w:rsid w:val="00EE2BAC"/>
    <w:rsid w:val="00EF40F4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6A43"/>
    <w:rsid w:val="00F56B73"/>
    <w:rsid w:val="00F7636F"/>
    <w:rsid w:val="00F77C6B"/>
    <w:rsid w:val="00F84AD2"/>
    <w:rsid w:val="00F868C6"/>
    <w:rsid w:val="00F94924"/>
    <w:rsid w:val="00FA27E3"/>
    <w:rsid w:val="00FA2D50"/>
    <w:rsid w:val="00FA750A"/>
    <w:rsid w:val="00FC26AD"/>
    <w:rsid w:val="00FD183C"/>
    <w:rsid w:val="00FD694B"/>
    <w:rsid w:val="00FD7686"/>
    <w:rsid w:val="00FF14E5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4597-B6B2-4049-BBE9-A94BCD87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2020-07-14T14:01:00Z</cp:lastPrinted>
  <dcterms:created xsi:type="dcterms:W3CDTF">2020-08-04T07:56:00Z</dcterms:created>
  <dcterms:modified xsi:type="dcterms:W3CDTF">2020-08-04T07:56:00Z</dcterms:modified>
</cp:coreProperties>
</file>