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490F0F" w:rsidRPr="0087789A" w:rsidRDefault="00C90F8E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DE1FD7">
        <w:rPr>
          <w:rFonts w:ascii="Times New Roman" w:hAnsi="Times New Roman"/>
          <w:sz w:val="20"/>
        </w:rPr>
        <w:t>31.10.2019 № 2297</w:t>
      </w:r>
    </w:p>
    <w:p w:rsidR="00D7285D" w:rsidRPr="0031378B" w:rsidRDefault="00D7285D" w:rsidP="00D7285D">
      <w:pPr>
        <w:ind w:left="7655"/>
        <w:rPr>
          <w:rFonts w:ascii="Times New Roman" w:eastAsia="Calibri" w:hAnsi="Times New Roman"/>
          <w:sz w:val="20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482D08" w:rsidP="00DF55C2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DC23FA" w:rsidRPr="00DC23FA">
              <w:rPr>
                <w:rFonts w:ascii="Times New Roman" w:hAnsi="Times New Roman"/>
              </w:rPr>
              <w:t>12</w:t>
            </w:r>
            <w:r w:rsidR="00DC23FA">
              <w:rPr>
                <w:rFonts w:ascii="Times New Roman" w:hAnsi="Times New Roman"/>
              </w:rPr>
              <w:t xml:space="preserve"> </w:t>
            </w:r>
            <w:r w:rsidR="00DC23FA" w:rsidRPr="00DC23FA">
              <w:rPr>
                <w:rFonts w:ascii="Times New Roman" w:hAnsi="Times New Roman"/>
              </w:rPr>
              <w:t>801,0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482D08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49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7377F">
              <w:rPr>
                <w:rFonts w:ascii="Times New Roman" w:hAnsi="Times New Roman"/>
                <w:bCs/>
                <w:szCs w:val="24"/>
              </w:rPr>
              <w:t>837</w:t>
            </w:r>
            <w:r w:rsidRPr="00DC23FA">
              <w:rPr>
                <w:rFonts w:ascii="Times New Roman" w:hAnsi="Times New Roman"/>
                <w:bCs/>
                <w:szCs w:val="24"/>
              </w:rPr>
              <w:t>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E7377F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 w:rsidR="00E7377F">
              <w:rPr>
                <w:rFonts w:ascii="Times New Roman" w:hAnsi="Times New Roman"/>
                <w:bCs/>
                <w:szCs w:val="24"/>
              </w:rPr>
              <w:t> 525,9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655,9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C23FA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FA" w:rsidRPr="0050377D" w:rsidRDefault="00DC23FA" w:rsidP="00DC23FA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FA" w:rsidRPr="00E7377F" w:rsidRDefault="00DC23FA" w:rsidP="00E7377F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DF55C2">
              <w:t>62</w:t>
            </w:r>
            <w:r w:rsidR="00E7377F">
              <w:rPr>
                <w:lang w:val="en-US"/>
              </w:rPr>
              <w:t> 638</w:t>
            </w:r>
            <w:r w:rsidR="00E7377F">
              <w:rPr>
                <w:rFonts w:asciiTheme="minorHAnsi" w:hAnsiTheme="minorHAnsi"/>
              </w:rPr>
              <w:t>,</w:t>
            </w:r>
            <w:r w:rsidR="00E7377F">
              <w:rPr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E7377F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="00E7377F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E7377F">
              <w:rPr>
                <w:rFonts w:ascii="Times New Roman" w:hAnsi="Times New Roman"/>
                <w:bCs/>
                <w:szCs w:val="24"/>
              </w:rPr>
              <w:t>792,9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20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DC23FA">
              <w:rPr>
                <w:rFonts w:ascii="Times New Roman" w:hAnsi="Times New Roman"/>
                <w:bCs/>
                <w:szCs w:val="24"/>
              </w:rPr>
              <w:t>922</w:t>
            </w:r>
            <w:r w:rsidRPr="00DC23FA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DC23F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FA" w:rsidRPr="00DC23FA" w:rsidRDefault="00DC23FA" w:rsidP="00DC23FA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Общая характеристика сферы реализации муниципальной программы, в том числе формулировка основных проблем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в</w:t>
      </w:r>
      <w:proofErr w:type="gramEnd"/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 xml:space="preserve">Администрация городского округа Домодедово, Главное управление государственного строительного надзора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Жилищной политики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 xml:space="preserve">., Министерство имущественных отношений </w:t>
            </w:r>
            <w:proofErr w:type="spellStart"/>
            <w:r w:rsidRPr="003E63DB">
              <w:rPr>
                <w:rFonts w:ascii="Times New Roman" w:hAnsi="Times New Roman"/>
                <w:i/>
                <w:sz w:val="20"/>
              </w:rPr>
              <w:t>М.О</w:t>
            </w:r>
            <w:proofErr w:type="spellEnd"/>
            <w:r w:rsidRPr="003E63DB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DE1FD7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DE1FD7">
              <w:rPr>
                <w:rFonts w:ascii="Times New Roman" w:hAnsi="Times New Roman"/>
                <w:sz w:val="18"/>
                <w:szCs w:val="18"/>
              </w:rPr>
              <w:t xml:space="preserve"> 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FD7">
              <w:rPr>
                <w:rFonts w:ascii="Times New Roman" w:hAnsi="Times New Roman"/>
                <w:sz w:val="18"/>
                <w:szCs w:val="18"/>
              </w:rPr>
              <w:t>31.10.2019</w:t>
            </w:r>
            <w:bookmarkStart w:id="3" w:name="_GoBack"/>
            <w:bookmarkEnd w:id="3"/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035C8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0035C8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C8" w:rsidRPr="00AE163A" w:rsidRDefault="0078750A" w:rsidP="005005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14 801,4</w:t>
            </w:r>
          </w:p>
        </w:tc>
      </w:tr>
      <w:tr w:rsidR="00AE163A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AE163A" w:rsidRDefault="00AE163A" w:rsidP="00AE163A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4 267,0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4 267,0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  <w:r w:rsidRPr="00AE163A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    12 801,0</w:t>
            </w:r>
          </w:p>
        </w:tc>
      </w:tr>
      <w:tr w:rsidR="00AE163A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AE163A" w:rsidRPr="0031378B" w:rsidRDefault="00AE163A" w:rsidP="00AE163A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AE163A" w:rsidRDefault="00AE163A" w:rsidP="00AE163A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AE163A" w:rsidRPr="00AE163A" w:rsidRDefault="00AE163A" w:rsidP="00AE163A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417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34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57" w:type="dxa"/>
            <w:gridSpan w:val="3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AE163A" w:rsidRPr="00AE163A" w:rsidRDefault="00AE163A" w:rsidP="00AE1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2 000,4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D636D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</w:t>
            </w:r>
            <w:r w:rsidR="00D636D1">
              <w:rPr>
                <w:rFonts w:ascii="Times New Roman" w:hAnsi="Times New Roman"/>
                <w:bCs/>
                <w:szCs w:val="24"/>
              </w:rPr>
              <w:t>859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9C2963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</w:t>
            </w:r>
            <w:r w:rsidR="00134B33"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134B33" w:rsidP="004C6B9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</w:t>
            </w:r>
            <w:r w:rsidR="00C90F8E">
              <w:rPr>
                <w:rFonts w:ascii="Times New Roman" w:hAnsi="Times New Roman"/>
                <w:bCs/>
                <w:szCs w:val="24"/>
              </w:rPr>
              <w:t>837</w:t>
            </w:r>
            <w:r>
              <w:rPr>
                <w:rFonts w:ascii="Times New Roman" w:hAnsi="Times New Roman"/>
                <w:bCs/>
                <w:szCs w:val="24"/>
              </w:rPr>
              <w:t>,3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D636D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</w:t>
            </w:r>
            <w:r w:rsidR="00D636D1">
              <w:rPr>
                <w:rFonts w:ascii="Times New Roman" w:hAnsi="Times New Roman"/>
                <w:bCs/>
                <w:szCs w:val="24"/>
              </w:rPr>
              <w:t>859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134B33" w:rsidP="00085D1E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14 989,1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134B33" w:rsidP="00C90F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44 </w:t>
            </w:r>
            <w:r w:rsidR="00C90F8E">
              <w:rPr>
                <w:rFonts w:ascii="Times New Roman" w:hAnsi="Times New Roman"/>
                <w:bCs/>
                <w:szCs w:val="24"/>
              </w:rPr>
              <w:t>837</w:t>
            </w:r>
            <w:r>
              <w:rPr>
                <w:rFonts w:ascii="Times New Roman" w:hAnsi="Times New Roman"/>
                <w:bCs/>
                <w:szCs w:val="24"/>
              </w:rPr>
              <w:t>,3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B6" w:rsidRDefault="000206B6">
      <w:r>
        <w:separator/>
      </w:r>
    </w:p>
  </w:endnote>
  <w:endnote w:type="continuationSeparator" w:id="0">
    <w:p w:rsidR="000206B6" w:rsidRDefault="000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B6" w:rsidRDefault="000206B6">
      <w:r>
        <w:separator/>
      </w:r>
    </w:p>
  </w:footnote>
  <w:footnote w:type="continuationSeparator" w:id="0">
    <w:p w:rsidR="000206B6" w:rsidRDefault="0002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06B6"/>
    <w:rsid w:val="00021863"/>
    <w:rsid w:val="000233CA"/>
    <w:rsid w:val="0003045F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C36FD"/>
    <w:rsid w:val="000C3E6E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425C5"/>
    <w:rsid w:val="0025633A"/>
    <w:rsid w:val="00265A4A"/>
    <w:rsid w:val="00280AF8"/>
    <w:rsid w:val="00280CFB"/>
    <w:rsid w:val="00291C6A"/>
    <w:rsid w:val="002973FB"/>
    <w:rsid w:val="002A1FA0"/>
    <w:rsid w:val="002A2233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5CC6"/>
    <w:rsid w:val="00360C7E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C385F"/>
    <w:rsid w:val="004C6267"/>
    <w:rsid w:val="004C6B9D"/>
    <w:rsid w:val="004C773C"/>
    <w:rsid w:val="004D2285"/>
    <w:rsid w:val="004E1F36"/>
    <w:rsid w:val="004F0EE5"/>
    <w:rsid w:val="004F4D1B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94B06"/>
    <w:rsid w:val="00595B2D"/>
    <w:rsid w:val="005B16CA"/>
    <w:rsid w:val="005B7D00"/>
    <w:rsid w:val="005C07AC"/>
    <w:rsid w:val="005C3358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81002B"/>
    <w:rsid w:val="00846BCD"/>
    <w:rsid w:val="00853FB8"/>
    <w:rsid w:val="0086030A"/>
    <w:rsid w:val="0086160E"/>
    <w:rsid w:val="008677A3"/>
    <w:rsid w:val="00872002"/>
    <w:rsid w:val="00872CE7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367C1"/>
    <w:rsid w:val="00941D6B"/>
    <w:rsid w:val="00944BC1"/>
    <w:rsid w:val="00957DB8"/>
    <w:rsid w:val="00967993"/>
    <w:rsid w:val="00973C1C"/>
    <w:rsid w:val="00993606"/>
    <w:rsid w:val="009962BB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78"/>
    <w:rsid w:val="00AB29AC"/>
    <w:rsid w:val="00AB6F3B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6008D"/>
    <w:rsid w:val="00B61947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0F8E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E1FD7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3638-3351-4610-939B-C5AE8A18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2020-06-29T08:14:00Z</cp:lastPrinted>
  <dcterms:created xsi:type="dcterms:W3CDTF">2020-06-29T08:32:00Z</dcterms:created>
  <dcterms:modified xsi:type="dcterms:W3CDTF">2020-06-29T08:32:00Z</dcterms:modified>
</cp:coreProperties>
</file>