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0F59F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B26173" w:rsidRPr="008E2B13" w:rsidRDefault="000F59F2" w:rsidP="00B261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B2617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B26173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="00B2617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0F59F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VII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D95A26">
        <w:trPr>
          <w:trHeight w:val="672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9C33C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1 262 849,8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15 822,5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221 109,3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880 170,2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145 747,8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33C9" w:rsidRPr="008E2B13" w:rsidTr="007A1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092693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</w:t>
            </w:r>
            <w:r w:rsidR="00E76F3D">
              <w:rPr>
                <w:bCs/>
                <w:sz w:val="24"/>
                <w:szCs w:val="24"/>
              </w:rPr>
              <w:t> 27</w:t>
            </w:r>
            <w:r w:rsidR="00092693">
              <w:rPr>
                <w:bCs/>
                <w:sz w:val="24"/>
                <w:szCs w:val="24"/>
              </w:rPr>
              <w:t>9</w:t>
            </w:r>
            <w:r w:rsidR="00E76F3D">
              <w:rPr>
                <w:bCs/>
                <w:sz w:val="24"/>
                <w:szCs w:val="24"/>
              </w:rPr>
              <w:t> 503,6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55" w:rsidRPr="009C33C9" w:rsidRDefault="002D5055" w:rsidP="00092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0926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590,8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290 364,1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511 120,0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76 428,7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33C9" w:rsidRPr="008E2B13" w:rsidTr="00B526B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441 600,0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436 800,0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3C9" w:rsidRPr="008E2B13" w:rsidTr="00FE03F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2D5055" w:rsidP="00092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3 98</w:t>
            </w:r>
            <w:r w:rsidR="0009269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353,3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2D5055" w:rsidP="00092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="0009269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413,3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953 073,4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1 827 890,2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658 976,5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8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0F59F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2E399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III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III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2E399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III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691562" w:rsidRPr="008E2B13" w:rsidRDefault="000F59F2" w:rsidP="00691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691562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691562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="00691562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6915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(далее - Подпрограмма </w:t>
      </w:r>
      <w:r w:rsidR="00691562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="00691562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691562" w:rsidRDefault="00691562" w:rsidP="00691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>
        <w:rPr>
          <w:rFonts w:eastAsiaTheme="minorEastAsia"/>
          <w:sz w:val="24"/>
          <w:szCs w:val="24"/>
          <w:lang w:val="en-US"/>
        </w:rPr>
        <w:t>VII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Pr="002E3997">
        <w:rPr>
          <w:rFonts w:eastAsiaTheme="minorEastAsia"/>
          <w:sz w:val="24"/>
          <w:szCs w:val="24"/>
          <w:lang w:val="en-US"/>
        </w:rPr>
        <w:t>V</w:t>
      </w:r>
      <w:r>
        <w:rPr>
          <w:rFonts w:eastAsiaTheme="minorEastAsia"/>
          <w:sz w:val="24"/>
          <w:szCs w:val="24"/>
          <w:lang w:val="en-US"/>
        </w:rPr>
        <w:t>II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E7FB2" w:rsidRPr="002F497B" w:rsidTr="002A0EA1">
        <w:trPr>
          <w:trHeight w:val="225"/>
        </w:trPr>
        <w:tc>
          <w:tcPr>
            <w:tcW w:w="313" w:type="dxa"/>
            <w:tcBorders>
              <w:right w:val="single" w:sz="4" w:space="0" w:color="auto"/>
            </w:tcBorders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AE7FB2" w:rsidRPr="002F497B" w:rsidRDefault="00AE7FB2" w:rsidP="002A0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V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AE7FB2" w:rsidRPr="008E2B13" w:rsidTr="002A0EA1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E7FB2" w:rsidRPr="00476DE0" w:rsidRDefault="00AE7FB2" w:rsidP="002A0EA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933" w:type="dxa"/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40561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  <w:tc>
          <w:tcPr>
            <w:tcW w:w="1560" w:type="dxa"/>
          </w:tcPr>
          <w:p w:rsidR="00AE7FB2" w:rsidRPr="002F497B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F2" w:rsidRDefault="000F59F2" w:rsidP="00BE2323">
      <w:r>
        <w:separator/>
      </w:r>
    </w:p>
  </w:endnote>
  <w:endnote w:type="continuationSeparator" w:id="0">
    <w:p w:rsidR="000F59F2" w:rsidRDefault="000F59F2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F2" w:rsidRDefault="000F59F2" w:rsidP="00BE2323">
      <w:r>
        <w:separator/>
      </w:r>
    </w:p>
  </w:footnote>
  <w:footnote w:type="continuationSeparator" w:id="0">
    <w:p w:rsidR="000F59F2" w:rsidRDefault="000F59F2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90698B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>от 31.10.2019</w:t>
    </w:r>
    <w:r w:rsidRPr="0087789A">
      <w:rPr>
        <w:sz w:val="20"/>
      </w:rPr>
      <w:t xml:space="preserve"> №</w:t>
    </w:r>
    <w:r>
      <w:rPr>
        <w:sz w:val="20"/>
      </w:rPr>
      <w:t>2299»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Default="00FF4C09" w:rsidP="00C83DD6">
    <w:pPr>
      <w:pStyle w:val="ae"/>
      <w:ind w:firstLine="12191"/>
    </w:pPr>
    <w:r>
      <w:rPr>
        <w:rFonts w:ascii="Times New Roman" w:hAnsi="Times New Roman"/>
        <w:sz w:val="20"/>
      </w:rPr>
      <w:t>от 10.03.</w:t>
    </w:r>
    <w:r w:rsidR="00C83DD6" w:rsidRPr="0087789A">
      <w:rPr>
        <w:rFonts w:ascii="Times New Roman" w:hAnsi="Times New Roman"/>
        <w:sz w:val="20"/>
      </w:rPr>
      <w:t>20</w:t>
    </w:r>
    <w:r w:rsidR="007F1088">
      <w:rPr>
        <w:rFonts w:ascii="Times New Roman" w:hAnsi="Times New Roman"/>
        <w:sz w:val="20"/>
      </w:rPr>
      <w:t>20</w:t>
    </w:r>
    <w:r>
      <w:rPr>
        <w:rFonts w:ascii="Times New Roman" w:hAnsi="Times New Roman"/>
        <w:sz w:val="20"/>
      </w:rPr>
      <w:t xml:space="preserve"> № 519</w:t>
    </w:r>
    <w:r w:rsidR="00C83DD6">
      <w:rPr>
        <w:rFonts w:ascii="Times New Roman" w:hAnsi="Times New Roman"/>
        <w:sz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09">
          <w:rPr>
            <w:noProof/>
          </w:rPr>
          <w:t>5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8240A"/>
    <w:rsid w:val="00092693"/>
    <w:rsid w:val="000F59F2"/>
    <w:rsid w:val="00112090"/>
    <w:rsid w:val="00135EA9"/>
    <w:rsid w:val="0014515A"/>
    <w:rsid w:val="00170173"/>
    <w:rsid w:val="0019524F"/>
    <w:rsid w:val="001A3E6A"/>
    <w:rsid w:val="001C389A"/>
    <w:rsid w:val="001F78CC"/>
    <w:rsid w:val="002168B0"/>
    <w:rsid w:val="002404C2"/>
    <w:rsid w:val="002558D1"/>
    <w:rsid w:val="00297B6E"/>
    <w:rsid w:val="002C2CEA"/>
    <w:rsid w:val="002D5055"/>
    <w:rsid w:val="002D566F"/>
    <w:rsid w:val="002E3997"/>
    <w:rsid w:val="002F497B"/>
    <w:rsid w:val="003C4ACA"/>
    <w:rsid w:val="00402953"/>
    <w:rsid w:val="00403837"/>
    <w:rsid w:val="004070BD"/>
    <w:rsid w:val="004164BD"/>
    <w:rsid w:val="00457ED1"/>
    <w:rsid w:val="00470D98"/>
    <w:rsid w:val="00476DE0"/>
    <w:rsid w:val="004D34A3"/>
    <w:rsid w:val="00572BA4"/>
    <w:rsid w:val="005A2CF6"/>
    <w:rsid w:val="005F63E0"/>
    <w:rsid w:val="00616A07"/>
    <w:rsid w:val="00640561"/>
    <w:rsid w:val="006748EB"/>
    <w:rsid w:val="0067690C"/>
    <w:rsid w:val="00691562"/>
    <w:rsid w:val="006C307E"/>
    <w:rsid w:val="00701D1F"/>
    <w:rsid w:val="007207A4"/>
    <w:rsid w:val="00720A77"/>
    <w:rsid w:val="0077392C"/>
    <w:rsid w:val="007841A6"/>
    <w:rsid w:val="0078488B"/>
    <w:rsid w:val="007F1088"/>
    <w:rsid w:val="00823ACE"/>
    <w:rsid w:val="0082512E"/>
    <w:rsid w:val="00850E26"/>
    <w:rsid w:val="00897A35"/>
    <w:rsid w:val="008B69FF"/>
    <w:rsid w:val="008D0071"/>
    <w:rsid w:val="008E2B13"/>
    <w:rsid w:val="0090698B"/>
    <w:rsid w:val="0091391C"/>
    <w:rsid w:val="0091433C"/>
    <w:rsid w:val="00922762"/>
    <w:rsid w:val="00982CDD"/>
    <w:rsid w:val="00985FD8"/>
    <w:rsid w:val="009C097A"/>
    <w:rsid w:val="009C33C9"/>
    <w:rsid w:val="009D5207"/>
    <w:rsid w:val="009F75A7"/>
    <w:rsid w:val="00A564E3"/>
    <w:rsid w:val="00A85F9F"/>
    <w:rsid w:val="00AA551F"/>
    <w:rsid w:val="00AC21A1"/>
    <w:rsid w:val="00AC3210"/>
    <w:rsid w:val="00AC444F"/>
    <w:rsid w:val="00AE7FB2"/>
    <w:rsid w:val="00B1264F"/>
    <w:rsid w:val="00B1413C"/>
    <w:rsid w:val="00B26173"/>
    <w:rsid w:val="00BA086C"/>
    <w:rsid w:val="00BA37B4"/>
    <w:rsid w:val="00BD100B"/>
    <w:rsid w:val="00BD5602"/>
    <w:rsid w:val="00BE0CB8"/>
    <w:rsid w:val="00BE2323"/>
    <w:rsid w:val="00C81EE8"/>
    <w:rsid w:val="00C83DD6"/>
    <w:rsid w:val="00C8569B"/>
    <w:rsid w:val="00CA55D5"/>
    <w:rsid w:val="00CF03B1"/>
    <w:rsid w:val="00CF3525"/>
    <w:rsid w:val="00D0091C"/>
    <w:rsid w:val="00D020D8"/>
    <w:rsid w:val="00D041DF"/>
    <w:rsid w:val="00D064B0"/>
    <w:rsid w:val="00D70610"/>
    <w:rsid w:val="00D74CFA"/>
    <w:rsid w:val="00D952EF"/>
    <w:rsid w:val="00D95A26"/>
    <w:rsid w:val="00D97A1F"/>
    <w:rsid w:val="00DC1A39"/>
    <w:rsid w:val="00DE412A"/>
    <w:rsid w:val="00DF436A"/>
    <w:rsid w:val="00E16CFE"/>
    <w:rsid w:val="00E37369"/>
    <w:rsid w:val="00E76F3D"/>
    <w:rsid w:val="00EE3633"/>
    <w:rsid w:val="00F170DC"/>
    <w:rsid w:val="00F37257"/>
    <w:rsid w:val="00F66D93"/>
    <w:rsid w:val="00F94586"/>
    <w:rsid w:val="00FE237D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2020-03-03T14:24:00Z</cp:lastPrinted>
  <dcterms:created xsi:type="dcterms:W3CDTF">2020-04-03T09:36:00Z</dcterms:created>
  <dcterms:modified xsi:type="dcterms:W3CDTF">2020-04-03T09:36:00Z</dcterms:modified>
</cp:coreProperties>
</file>