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39396A">
        <w:trPr>
          <w:trHeight w:val="283"/>
        </w:trPr>
        <w:tc>
          <w:tcPr>
            <w:tcW w:w="2903" w:type="dxa"/>
          </w:tcPr>
          <w:p w:rsidR="0039396A" w:rsidRDefault="0039396A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39396A" w:rsidRDefault="0039396A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396A" w:rsidRDefault="003A33CC"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3A33CC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39396A" w:rsidRDefault="003A33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административному</w:t>
            </w:r>
          </w:p>
          <w:p w:rsidR="0039396A" w:rsidRDefault="003A33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регламенту предоставления</w:t>
            </w:r>
          </w:p>
          <w:p w:rsidR="0039396A" w:rsidRDefault="003A33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муниципальной услуги «Выдача</w:t>
            </w:r>
          </w:p>
          <w:p w:rsidR="0039396A" w:rsidRDefault="003A33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ордера на право производства</w:t>
            </w:r>
          </w:p>
          <w:p w:rsidR="0039396A" w:rsidRDefault="003A33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земляных работ на территории</w:t>
            </w:r>
          </w:p>
          <w:p w:rsidR="0039396A" w:rsidRDefault="003A33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городского округа Домодедово</w:t>
            </w:r>
          </w:p>
          <w:p w:rsidR="0039396A" w:rsidRDefault="003A33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Московской области»,</w:t>
            </w:r>
          </w:p>
          <w:p w:rsidR="0039396A" w:rsidRDefault="003A33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утвержденному постановлением</w:t>
            </w:r>
          </w:p>
          <w:p w:rsidR="0039396A" w:rsidRDefault="003A33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городского </w:t>
            </w:r>
            <w:r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  <w:p w:rsidR="0039396A" w:rsidRDefault="003A33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Домодедово Московской области</w:t>
            </w:r>
          </w:p>
          <w:p w:rsidR="0039396A" w:rsidRDefault="003A33CC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39396A" w:rsidRDefault="0039396A"/>
    <w:p w:rsidR="0039396A" w:rsidRDefault="0039396A">
      <w:pPr>
        <w:sectPr w:rsidR="0039396A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39396A" w:rsidRDefault="003A33CC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Перечень</w:t>
      </w:r>
      <w:r>
        <w:rPr>
          <w:rFonts w:ascii="Times New Roman" w:hAnsi="Times New Roman"/>
          <w:sz w:val="28"/>
          <w:szCs w:val="28"/>
        </w:rPr>
        <w:br/>
        <w:t>общих признаков, по которым объединяются</w:t>
      </w:r>
      <w:r>
        <w:rPr>
          <w:rFonts w:ascii="Times New Roman" w:hAnsi="Times New Roman"/>
          <w:sz w:val="28"/>
          <w:szCs w:val="28"/>
        </w:rPr>
        <w:br/>
        <w:t>категории заявителей, а также комбинации признаков заявителей,</w:t>
      </w:r>
      <w:r>
        <w:rPr>
          <w:rFonts w:ascii="Times New Roman" w:hAnsi="Times New Roman"/>
          <w:sz w:val="28"/>
          <w:szCs w:val="28"/>
        </w:rPr>
        <w:br/>
        <w:t>каждая из которых соответствует вариантам</w:t>
      </w:r>
      <w:r>
        <w:rPr>
          <w:rFonts w:ascii="Times New Roman" w:hAnsi="Times New Roman"/>
          <w:sz w:val="28"/>
          <w:szCs w:val="28"/>
        </w:rPr>
        <w:t xml:space="preserve"> предоставления муниципальной услуги </w:t>
      </w:r>
      <w:r>
        <w:rPr>
          <w:rFonts w:ascii="Times New Roman" w:hAnsi="Times New Roman"/>
          <w:sz w:val="28"/>
          <w:szCs w:val="28"/>
        </w:rPr>
        <w:t>«Выдача ордера на право производства земляных работ на территории городского округа Домодедово Московской области»</w:t>
      </w:r>
    </w:p>
    <w:p w:rsidR="0039396A" w:rsidRDefault="0039396A">
      <w:pPr>
        <w:sectPr w:rsidR="0039396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39396A" w:rsidRDefault="0039396A">
      <w:pPr>
        <w:pStyle w:val="a8"/>
        <w:spacing w:line="276" w:lineRule="auto"/>
        <w:ind w:left="0"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9396A" w:rsidRDefault="003A33CC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признаки, по которым объединяются категории заявителей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8"/>
        <w:gridCol w:w="4317"/>
        <w:gridCol w:w="4871"/>
      </w:tblGrid>
      <w:tr w:rsidR="0039396A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396A" w:rsidRDefault="0039396A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396A" w:rsidRDefault="003A33CC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396A" w:rsidRDefault="003A33CC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</w:t>
            </w:r>
            <w:r>
              <w:rPr>
                <w:rFonts w:ascii="Times New Roman" w:hAnsi="Times New Roman"/>
                <w:sz w:val="28"/>
                <w:szCs w:val="28"/>
              </w:rPr>
              <w:t>рия</w:t>
            </w:r>
          </w:p>
        </w:tc>
      </w:tr>
      <w:tr w:rsidR="0039396A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39396A" w:rsidRDefault="003A33CC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39396A" w:rsidRDefault="003A33CC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396A" w:rsidRDefault="003A33CC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cобственники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объекта недвижимости</w:t>
            </w:r>
          </w:p>
        </w:tc>
      </w:tr>
      <w:tr w:rsidR="0039396A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39396A" w:rsidRDefault="003A33CC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39396A" w:rsidRDefault="003A33CC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396A" w:rsidRDefault="003A33CC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уполномоченные от имени </w:t>
            </w:r>
            <w:r>
              <w:rPr>
                <w:rFonts w:ascii="Times New Roman" w:hAnsi="Times New Roman"/>
                <w:sz w:val="28"/>
                <w:szCs w:val="28"/>
              </w:rPr>
              <w:t>правообладателя объекта недвижимости заключать договоры на выполнение земляных работ или осуществлять проведение земляных работ</w:t>
            </w:r>
          </w:p>
        </w:tc>
      </w:tr>
      <w:tr w:rsidR="0039396A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39396A" w:rsidRDefault="003A33CC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39396A" w:rsidRDefault="003A33CC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396A" w:rsidRDefault="003A33CC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правообладатели объекта нед</w:t>
            </w:r>
            <w:r>
              <w:rPr>
                <w:rFonts w:ascii="Times New Roman" w:hAnsi="Times New Roman"/>
                <w:sz w:val="28"/>
                <w:szCs w:val="28"/>
              </w:rPr>
              <w:t>вижимости,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</w:t>
            </w:r>
          </w:p>
        </w:tc>
      </w:tr>
      <w:tr w:rsidR="0039396A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39396A" w:rsidRDefault="003A33CC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39396A" w:rsidRDefault="003A33CC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  <w:p w:rsidR="0039396A" w:rsidRDefault="003A33CC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396A" w:rsidRDefault="003A33CC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собственники объекта недвижимости, распол</w:t>
            </w:r>
            <w:r>
              <w:rPr>
                <w:rFonts w:ascii="Times New Roman" w:hAnsi="Times New Roman"/>
                <w:sz w:val="28"/>
                <w:szCs w:val="28"/>
              </w:rPr>
              <w:t>оженного на территории Московской области</w:t>
            </w:r>
          </w:p>
        </w:tc>
      </w:tr>
      <w:tr w:rsidR="0039396A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39396A" w:rsidRDefault="003A33CC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5.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39396A" w:rsidRDefault="003A33CC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  <w:p w:rsidR="0039396A" w:rsidRDefault="003A33CC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396A" w:rsidRDefault="003A33CC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</w:t>
            </w:r>
            <w:r>
              <w:rPr>
                <w:rFonts w:ascii="Times New Roman" w:hAnsi="Times New Roman"/>
                <w:sz w:val="28"/>
                <w:szCs w:val="28"/>
              </w:rPr>
              <w:t>на территории городского округа Домодедово Московской области (указывается наименование муниципального образования)</w:t>
            </w:r>
          </w:p>
        </w:tc>
      </w:tr>
      <w:tr w:rsidR="0039396A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39396A" w:rsidRDefault="003A33CC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39396A" w:rsidRDefault="003A33CC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  <w:p w:rsidR="0039396A" w:rsidRDefault="003A33CC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396A" w:rsidRDefault="003A33CC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правообладатели объекта недвижимости, расположенного на территории Московской облас</w:t>
            </w:r>
            <w:r>
              <w:rPr>
                <w:rFonts w:ascii="Times New Roman" w:hAnsi="Times New Roman"/>
                <w:sz w:val="28"/>
                <w:szCs w:val="28"/>
              </w:rPr>
              <w:t>ти, имеющие право проводить земляные работы или заключать договоры с исполнителями земляных работ</w:t>
            </w:r>
          </w:p>
        </w:tc>
      </w:tr>
      <w:tr w:rsidR="0039396A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39396A" w:rsidRDefault="003A33CC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39396A" w:rsidRDefault="003A33CC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396A" w:rsidRDefault="003A33CC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организации, выполняющие работы в рамках региональной программы по социальной газификации</w:t>
            </w:r>
          </w:p>
        </w:tc>
      </w:tr>
    </w:tbl>
    <w:p w:rsidR="0039396A" w:rsidRDefault="0039396A">
      <w:pPr>
        <w:pStyle w:val="a8"/>
        <w:widowControl w:val="0"/>
        <w:spacing w:line="276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39396A" w:rsidRDefault="0039396A">
      <w:pPr>
        <w:sectPr w:rsidR="0039396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39396A" w:rsidRDefault="003A33CC">
      <w:pPr>
        <w:pStyle w:val="a8"/>
        <w:widowControl w:val="0"/>
        <w:spacing w:line="276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Комбинации признаков заяв</w:t>
      </w:r>
      <w:r>
        <w:rPr>
          <w:rFonts w:ascii="Times New Roman" w:hAnsi="Times New Roman"/>
          <w:sz w:val="28"/>
          <w:szCs w:val="28"/>
        </w:rPr>
        <w:t>ителей,</w:t>
      </w:r>
      <w:r>
        <w:rPr>
          <w:rFonts w:ascii="Times New Roman" w:hAnsi="Times New Roman"/>
          <w:sz w:val="28"/>
          <w:szCs w:val="28"/>
        </w:rPr>
        <w:br/>
        <w:t>каждая из которых соответствует вариантам</w:t>
      </w:r>
      <w:r>
        <w:rPr>
          <w:rFonts w:ascii="Times New Roman" w:hAnsi="Times New Roman"/>
          <w:sz w:val="28"/>
          <w:szCs w:val="28"/>
        </w:rPr>
        <w:br/>
        <w:t>предоставления муниципальной услуги</w:t>
      </w:r>
    </w:p>
    <w:tbl>
      <w:tblPr>
        <w:tblW w:w="99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370"/>
        <w:gridCol w:w="4843"/>
      </w:tblGrid>
      <w:tr w:rsidR="0039396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396A" w:rsidRDefault="003A33CC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396A" w:rsidRDefault="003A33CC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Федерации, иностранные граждане, лица без гражданства: 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cобственники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объекта недвижимости, включая их уполномоченных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396A" w:rsidRDefault="003A33CC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услуги, указанные в </w:t>
            </w:r>
            <w:r w:rsidRPr="003A33CC">
              <w:rPr>
                <w:rFonts w:ascii="Times New Roman" w:hAnsi="Times New Roman"/>
                <w:sz w:val="28"/>
                <w:szCs w:val="28"/>
              </w:rPr>
              <w:t>подпунктах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3A33CC">
              <w:rPr>
                <w:rFonts w:ascii="Times New Roman" w:hAnsi="Times New Roman"/>
                <w:sz w:val="28"/>
                <w:szCs w:val="28"/>
              </w:rPr>
              <w:t xml:space="preserve">17.1.1, 17.1.10, 17.1.20, 17.1.29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39396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396A" w:rsidRDefault="003A33CC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396A" w:rsidRDefault="003A33CC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Федерации, иностранные граждане, лица без гражданства:  уполномоченные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396A" w:rsidRDefault="003A33CC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услуги, указанные в </w:t>
            </w:r>
            <w:r w:rsidRPr="003A33CC">
              <w:rPr>
                <w:rFonts w:ascii="Times New Roman" w:hAnsi="Times New Roman"/>
                <w:sz w:val="28"/>
                <w:szCs w:val="28"/>
              </w:rPr>
              <w:t>подпунктах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3A33CC">
              <w:rPr>
                <w:rFonts w:ascii="Times New Roman" w:hAnsi="Times New Roman"/>
                <w:sz w:val="28"/>
                <w:szCs w:val="28"/>
              </w:rPr>
              <w:t xml:space="preserve">17.1.2, </w:t>
            </w:r>
            <w:r w:rsidRPr="003A33CC">
              <w:rPr>
                <w:rFonts w:ascii="Times New Roman" w:hAnsi="Times New Roman"/>
                <w:sz w:val="28"/>
                <w:szCs w:val="28"/>
              </w:rPr>
              <w:t xml:space="preserve">17.1.11, 17.1.21, 17.1.30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39396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396A" w:rsidRDefault="003A33CC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396A" w:rsidRDefault="003A33CC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гражданства:  иные правообладатели объекта недвижимости, уполномоченные от имени правообладателя объекта недвижимости заклю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чать договоры на выполнение земляных работ или осуществлять проведение земляных работ,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396A" w:rsidRDefault="003A33CC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услуги, указанные в </w:t>
            </w:r>
            <w:r w:rsidRPr="003A33CC">
              <w:rPr>
                <w:rFonts w:ascii="Times New Roman" w:hAnsi="Times New Roman"/>
                <w:sz w:val="28"/>
                <w:szCs w:val="28"/>
              </w:rPr>
              <w:t>подпунктах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3A33CC">
              <w:rPr>
                <w:rFonts w:ascii="Times New Roman" w:hAnsi="Times New Roman"/>
                <w:sz w:val="28"/>
                <w:szCs w:val="28"/>
              </w:rPr>
              <w:t xml:space="preserve">17.1.3, 17.1.12, 17.1.22, 17.1.31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39396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396A" w:rsidRDefault="003A33CC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396A" w:rsidRDefault="003A33CC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лица:  собственники объекта недвижимости, расположенного на территории Московской области,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396A" w:rsidRDefault="003A33CC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услуги, указанные в </w:t>
            </w:r>
            <w:r w:rsidRPr="003A33CC">
              <w:rPr>
                <w:rFonts w:ascii="Times New Roman" w:hAnsi="Times New Roman"/>
                <w:sz w:val="28"/>
                <w:szCs w:val="28"/>
              </w:rPr>
              <w:t>подпунктах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3A33CC">
              <w:rPr>
                <w:rFonts w:ascii="Times New Roman" w:hAnsi="Times New Roman"/>
                <w:sz w:val="28"/>
                <w:szCs w:val="28"/>
              </w:rPr>
              <w:t xml:space="preserve">17.1.4, 17.1.13, 17.1.23, 17.1.32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39396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396A" w:rsidRDefault="003A33CC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396A" w:rsidRDefault="003A33CC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лица: 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городского округа Домодедово Московской обла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сти (указывается наименование муниципального образования),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396A" w:rsidRDefault="003A33CC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услуги, указанные в </w:t>
            </w:r>
            <w:r w:rsidRPr="003A33CC">
              <w:rPr>
                <w:rFonts w:ascii="Times New Roman" w:hAnsi="Times New Roman"/>
                <w:sz w:val="28"/>
                <w:szCs w:val="28"/>
              </w:rPr>
              <w:t>подпунктах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3A33CC">
              <w:rPr>
                <w:rFonts w:ascii="Times New Roman" w:hAnsi="Times New Roman"/>
                <w:sz w:val="28"/>
                <w:szCs w:val="28"/>
              </w:rPr>
              <w:t xml:space="preserve">17.1.5, 17.1.14, 17.1.24, 17.1.33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39396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396A" w:rsidRDefault="003A33CC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396A" w:rsidRDefault="003A33CC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юридические лица:  иные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правообладатели объекта недвижимости, расположенного на территории Московской области, имеющие право проводить земляные работы или заключать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договоры с исполнителями земляных работ,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396A" w:rsidRDefault="003A33CC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варианты </w:t>
            </w:r>
            <w:r>
              <w:rPr>
                <w:rFonts w:ascii="Times New Roman" w:hAnsi="Times New Roman"/>
                <w:sz w:val="28"/>
                <w:szCs w:val="28"/>
              </w:rPr>
              <w:t>предоставления муниципал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ьной услуги, указанные в </w:t>
            </w:r>
            <w:r w:rsidRPr="003A33CC">
              <w:rPr>
                <w:rFonts w:ascii="Times New Roman" w:hAnsi="Times New Roman"/>
                <w:sz w:val="28"/>
                <w:szCs w:val="28"/>
              </w:rPr>
              <w:t>подпунктах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3A33CC">
              <w:rPr>
                <w:rFonts w:ascii="Times New Roman" w:hAnsi="Times New Roman"/>
                <w:sz w:val="28"/>
                <w:szCs w:val="28"/>
              </w:rPr>
              <w:t xml:space="preserve">17.1.6, 17.1.15, 17.1.25, 17.1.34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39396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396A" w:rsidRDefault="003A33CC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7.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396A" w:rsidRDefault="003A33CC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предприниматели:  собственники объекта недвижимости, расположенного на территории Московской области,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396A" w:rsidRDefault="003A33CC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услуги, указанные в </w:t>
            </w:r>
            <w:r w:rsidRPr="003A33CC">
              <w:rPr>
                <w:rFonts w:ascii="Times New Roman" w:hAnsi="Times New Roman"/>
                <w:sz w:val="28"/>
                <w:szCs w:val="28"/>
              </w:rPr>
              <w:t>подпунктах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3A33CC">
              <w:rPr>
                <w:rFonts w:ascii="Times New Roman" w:hAnsi="Times New Roman"/>
                <w:sz w:val="28"/>
                <w:szCs w:val="28"/>
              </w:rPr>
              <w:t xml:space="preserve">17.1.7, 17.1.16, 17.1.26, 17.1.35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39396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396A" w:rsidRDefault="003A33CC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396A" w:rsidRDefault="003A33CC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предприниматели:  уполномоченные от имени правообладателя объекта недвижимости заключать договоры на выполнение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земляных работ или осуществлять проведение земляных работ на территории городского округа Домодедово Московской области (указывается наименование муниципального образования),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396A" w:rsidRDefault="003A33CC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варианты </w:t>
            </w:r>
            <w:r>
              <w:rPr>
                <w:rFonts w:ascii="Times New Roman" w:hAnsi="Times New Roman"/>
                <w:sz w:val="28"/>
                <w:szCs w:val="28"/>
              </w:rPr>
              <w:t>предоставления муниципальной 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слуги, указанные в </w:t>
            </w:r>
            <w:r w:rsidRPr="003A33CC">
              <w:rPr>
                <w:rFonts w:ascii="Times New Roman" w:hAnsi="Times New Roman"/>
                <w:sz w:val="28"/>
                <w:szCs w:val="28"/>
              </w:rPr>
              <w:t>подпунктах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3A33CC">
              <w:rPr>
                <w:rFonts w:ascii="Times New Roman" w:hAnsi="Times New Roman"/>
                <w:sz w:val="28"/>
                <w:szCs w:val="28"/>
              </w:rPr>
              <w:t xml:space="preserve">17.1.8, 17.1.17, 17.1.27, 17.1.36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39396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396A" w:rsidRDefault="003A33CC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396A" w:rsidRDefault="003A33CC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индивидуальные предприниматели:  иные правообладатели объекта недвижимости, расположенного на территории Московской области, имеющие право проводить земляные работы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или заключать договоры с исполнителями земляных работ,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396A" w:rsidRDefault="003A33CC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услуги, указанные в </w:t>
            </w:r>
            <w:r w:rsidRPr="003A33CC">
              <w:rPr>
                <w:rFonts w:ascii="Times New Roman" w:hAnsi="Times New Roman"/>
                <w:sz w:val="28"/>
                <w:szCs w:val="28"/>
              </w:rPr>
              <w:t>подпунктах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3A33CC">
              <w:rPr>
                <w:rFonts w:ascii="Times New Roman" w:hAnsi="Times New Roman"/>
                <w:sz w:val="28"/>
                <w:szCs w:val="28"/>
              </w:rPr>
              <w:t xml:space="preserve">17.1.9, 17.1.18, 17.1.28, 17.1.37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39396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396A" w:rsidRDefault="003A33CC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396A" w:rsidRDefault="003A33CC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лица:  организаци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и, выполняющие работы в рамках региональной программы по социальной газификации,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396A" w:rsidRDefault="003A33CC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варианты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услуги, указанные в </w:t>
            </w:r>
            <w:r w:rsidRPr="003A33CC">
              <w:rPr>
                <w:rFonts w:ascii="Times New Roman" w:hAnsi="Times New Roman"/>
                <w:sz w:val="28"/>
                <w:szCs w:val="28"/>
              </w:rPr>
              <w:t>подпунктах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3A33CC">
              <w:rPr>
                <w:rFonts w:ascii="Times New Roman" w:hAnsi="Times New Roman"/>
                <w:sz w:val="28"/>
                <w:szCs w:val="28"/>
              </w:rPr>
              <w:t xml:space="preserve">17.1.19, 17.1.38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</w:tbl>
    <w:p w:rsidR="0039396A" w:rsidRDefault="0039396A">
      <w:pPr>
        <w:rPr>
          <w:sz w:val="4"/>
          <w:szCs w:val="4"/>
        </w:rPr>
      </w:pPr>
    </w:p>
    <w:sectPr w:rsidR="0039396A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D612F"/>
    <w:multiLevelType w:val="multilevel"/>
    <w:tmpl w:val="311EBCC6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B0058CE"/>
    <w:multiLevelType w:val="multilevel"/>
    <w:tmpl w:val="5FBC109A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E5C0E25"/>
    <w:multiLevelType w:val="multilevel"/>
    <w:tmpl w:val="851C09E4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9DA41E2"/>
    <w:multiLevelType w:val="multilevel"/>
    <w:tmpl w:val="6B30B04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6A"/>
    <w:rsid w:val="0039396A"/>
    <w:rsid w:val="003A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080B49-341C-4A3B-8675-B1EF5EE6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9">
    <w:name w:val="Balloon Text"/>
    <w:basedOn w:val="a"/>
    <w:link w:val="aa"/>
    <w:uiPriority w:val="99"/>
    <w:semiHidden/>
    <w:unhideWhenUsed/>
    <w:rsid w:val="003A33CC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33CC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Иванцова Н.А.</dc:creator>
  <dc:description/>
  <cp:lastModifiedBy>Иванцова Н.А.</cp:lastModifiedBy>
  <cp:revision>2</cp:revision>
  <cp:lastPrinted>2025-10-23T08:49:00Z</cp:lastPrinted>
  <dcterms:created xsi:type="dcterms:W3CDTF">2025-10-23T08:49:00Z</dcterms:created>
  <dcterms:modified xsi:type="dcterms:W3CDTF">2025-10-23T08:49:00Z</dcterms:modified>
  <dc:language>en-US</dc:language>
</cp:coreProperties>
</file>