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7" w:rsidRDefault="009D4477" w:rsidP="009D447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E23E3A" wp14:editId="077A21B2">
            <wp:extent cx="6410325" cy="2114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477" w:rsidRDefault="009D4477" w:rsidP="009D4477">
      <w:pPr>
        <w:shd w:val="clear" w:color="auto" w:fill="FFFFFF"/>
        <w:tabs>
          <w:tab w:val="left" w:pos="1135"/>
        </w:tabs>
        <w:spacing w:before="422" w:line="271" w:lineRule="exact"/>
        <w:ind w:left="190" w:right="422" w:firstLine="706"/>
      </w:pPr>
      <w:r>
        <w:rPr>
          <w:b/>
          <w:bCs/>
          <w:spacing w:val="-15"/>
          <w:sz w:val="22"/>
          <w:szCs w:val="22"/>
        </w:rPr>
        <w:t>1.</w:t>
      </w:r>
      <w:r>
        <w:rPr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>Государственное регулирование инвестиционной деятельности в современных</w:t>
      </w:r>
      <w:r>
        <w:rPr>
          <w:rFonts w:eastAsia="Times New Roman"/>
          <w:b/>
          <w:bCs/>
          <w:sz w:val="22"/>
          <w:szCs w:val="22"/>
        </w:rPr>
        <w:br/>
        <w:t>условиях.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12" w:line="271" w:lineRule="exact"/>
        <w:ind w:left="866" w:right="586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Принципы государственного регулирования инвестиционной деятельности, осуществляемой в форме капитальных вложений, порядок осуществления </w:t>
      </w:r>
      <w:proofErr w:type="gramStart"/>
      <w:r>
        <w:rPr>
          <w:rFonts w:eastAsia="Times New Roman"/>
          <w:sz w:val="22"/>
          <w:szCs w:val="22"/>
        </w:rPr>
        <w:t>государственных</w:t>
      </w:r>
      <w:proofErr w:type="gramEnd"/>
      <w:r>
        <w:rPr>
          <w:rFonts w:eastAsia="Times New Roman"/>
          <w:sz w:val="22"/>
          <w:szCs w:val="22"/>
        </w:rPr>
        <w:t xml:space="preserve"> капитальных вложений. Экспертиза инвестиционных проектов.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10" w:line="271" w:lineRule="exact"/>
        <w:ind w:left="866" w:right="588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Новые правила, критерии отбора инвестиционных проектов для включения в реестр инвестиционных проектов и ведения реестра таких инвестиционных проектов.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10" w:line="271" w:lineRule="exact"/>
        <w:ind w:left="866" w:right="593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Совершенствование публичного технологического и ценового аудита крупных инвестиционных проектов с государственным участием.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17" w:line="269" w:lineRule="exact"/>
        <w:ind w:left="866" w:right="600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Проекты нового профессионального стандарта «Руководитель проекта» и ГОСТ серии «Проектный менеджмент».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14" w:line="269" w:lineRule="exact"/>
        <w:ind w:left="866" w:right="593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Перспективы развития сертификации организаций и специалистов по проектному управлению.</w:t>
      </w:r>
    </w:p>
    <w:p w:rsidR="009D4477" w:rsidRDefault="009D4477" w:rsidP="009D4477">
      <w:pPr>
        <w:shd w:val="clear" w:color="auto" w:fill="FFFFFF"/>
        <w:tabs>
          <w:tab w:val="left" w:pos="1202"/>
        </w:tabs>
        <w:spacing w:before="142"/>
        <w:ind w:left="874"/>
      </w:pPr>
      <w:r>
        <w:rPr>
          <w:b/>
          <w:bCs/>
          <w:spacing w:val="-7"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 xml:space="preserve">Современный   инвестиционный   проект  с  учетом   кризисной   ситуации,  </w:t>
      </w:r>
      <w:r>
        <w:rPr>
          <w:rFonts w:eastAsia="Times New Roman"/>
          <w:sz w:val="22"/>
          <w:szCs w:val="22"/>
        </w:rPr>
        <w:t>его</w:t>
      </w:r>
    </w:p>
    <w:p w:rsidR="009D4477" w:rsidRDefault="009D4477" w:rsidP="009D4477">
      <w:pPr>
        <w:shd w:val="clear" w:color="auto" w:fill="FFFFFF"/>
        <w:spacing w:line="266" w:lineRule="exact"/>
        <w:ind w:left="192" w:right="422"/>
      </w:pPr>
      <w:r>
        <w:rPr>
          <w:rFonts w:eastAsia="Times New Roman"/>
          <w:sz w:val="22"/>
          <w:szCs w:val="22"/>
        </w:rPr>
        <w:t xml:space="preserve">основные виды и особенности. Использование мобилизационных техник </w:t>
      </w:r>
      <w:proofErr w:type="gramStart"/>
      <w:r>
        <w:rPr>
          <w:rFonts w:eastAsia="Times New Roman"/>
          <w:sz w:val="22"/>
          <w:szCs w:val="22"/>
        </w:rPr>
        <w:t>стресс-менеджмента</w:t>
      </w:r>
      <w:proofErr w:type="gramEnd"/>
      <w:r>
        <w:rPr>
          <w:rFonts w:eastAsia="Times New Roman"/>
          <w:sz w:val="22"/>
          <w:szCs w:val="22"/>
        </w:rPr>
        <w:t xml:space="preserve"> и ограждающих возможностей риск-менеджмента в управлении проектом.</w:t>
      </w:r>
    </w:p>
    <w:p w:rsidR="009D4477" w:rsidRDefault="009D4477" w:rsidP="009D4477">
      <w:pPr>
        <w:numPr>
          <w:ilvl w:val="0"/>
          <w:numId w:val="2"/>
        </w:numPr>
        <w:shd w:val="clear" w:color="auto" w:fill="FFFFFF"/>
        <w:tabs>
          <w:tab w:val="left" w:pos="1099"/>
        </w:tabs>
        <w:spacing w:before="127" w:line="266" w:lineRule="exact"/>
        <w:ind w:left="192" w:right="422" w:firstLine="679"/>
        <w:rPr>
          <w:b/>
          <w:bCs/>
          <w:spacing w:val="-7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Планирование инвестиционных проектов в условиях нестабильности. </w:t>
      </w:r>
      <w:r>
        <w:rPr>
          <w:rFonts w:eastAsia="Times New Roman"/>
          <w:sz w:val="22"/>
          <w:szCs w:val="22"/>
        </w:rPr>
        <w:t xml:space="preserve">Анализ возможных просчетов </w:t>
      </w:r>
      <w:proofErr w:type="gramStart"/>
      <w:r>
        <w:rPr>
          <w:rFonts w:eastAsia="Times New Roman"/>
          <w:sz w:val="22"/>
          <w:szCs w:val="22"/>
        </w:rPr>
        <w:t>бизнес-планирования</w:t>
      </w:r>
      <w:proofErr w:type="gramEnd"/>
      <w:r>
        <w:rPr>
          <w:rFonts w:eastAsia="Times New Roman"/>
          <w:sz w:val="22"/>
          <w:szCs w:val="22"/>
        </w:rPr>
        <w:t>.</w:t>
      </w:r>
    </w:p>
    <w:p w:rsidR="009D4477" w:rsidRDefault="009D4477" w:rsidP="009D4477">
      <w:pPr>
        <w:numPr>
          <w:ilvl w:val="0"/>
          <w:numId w:val="2"/>
        </w:numPr>
        <w:shd w:val="clear" w:color="auto" w:fill="FFFFFF"/>
        <w:tabs>
          <w:tab w:val="left" w:pos="1099"/>
        </w:tabs>
        <w:spacing w:before="130" w:line="271" w:lineRule="exact"/>
        <w:ind w:left="871"/>
        <w:rPr>
          <w:b/>
          <w:bCs/>
          <w:spacing w:val="-9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Антикризисный финансово-экономический менеджмент.</w:t>
      </w:r>
    </w:p>
    <w:p w:rsidR="009D4477" w:rsidRDefault="009D4477" w:rsidP="009D4477">
      <w:pPr>
        <w:rPr>
          <w:sz w:val="2"/>
          <w:szCs w:val="2"/>
        </w:rPr>
      </w:pP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7" w:line="271" w:lineRule="exact"/>
        <w:ind w:left="866" w:right="590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Применение возможностей технологического и ценового аудита </w:t>
      </w:r>
      <w:proofErr w:type="spellStart"/>
      <w:r>
        <w:rPr>
          <w:rFonts w:eastAsia="Times New Roman"/>
          <w:sz w:val="22"/>
          <w:szCs w:val="22"/>
        </w:rPr>
        <w:t>инвестпроекта</w:t>
      </w:r>
      <w:proofErr w:type="spellEnd"/>
      <w:r>
        <w:rPr>
          <w:rFonts w:eastAsia="Times New Roman"/>
          <w:sz w:val="22"/>
          <w:szCs w:val="22"/>
        </w:rPr>
        <w:t xml:space="preserve"> с целью экономного использования ресурсов, применения новейших технологических разработок и </w:t>
      </w:r>
      <w:r>
        <w:rPr>
          <w:rFonts w:eastAsia="Times New Roman"/>
          <w:sz w:val="22"/>
          <w:szCs w:val="22"/>
          <w:lang w:val="en-US"/>
        </w:rPr>
        <w:t>IT</w:t>
      </w:r>
      <w:r>
        <w:rPr>
          <w:rFonts w:eastAsia="Times New Roman"/>
          <w:sz w:val="22"/>
          <w:szCs w:val="22"/>
        </w:rPr>
        <w:t>-программных продуктов.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10" w:line="271" w:lineRule="exact"/>
        <w:ind w:left="866" w:right="600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Задействование внутренних финансовых резервов организации, в том числе повышение качества выполнения работ.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7" w:line="271" w:lineRule="exact"/>
        <w:ind w:left="866" w:right="598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Активный поиск альтернативных источников финансирования. Применение передовых маркетинговых технологий, </w:t>
      </w:r>
      <w:r>
        <w:rPr>
          <w:rFonts w:eastAsia="Times New Roman"/>
          <w:sz w:val="22"/>
          <w:szCs w:val="22"/>
          <w:lang w:val="en-US"/>
        </w:rPr>
        <w:t>PR</w:t>
      </w:r>
      <w:r>
        <w:rPr>
          <w:rFonts w:eastAsia="Times New Roman"/>
          <w:sz w:val="22"/>
          <w:szCs w:val="22"/>
        </w:rPr>
        <w:t>-компаний, рекламы в СМИ для привлечения инвесторов.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7" w:line="271" w:lineRule="exact"/>
        <w:ind w:left="866" w:right="605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Улучшение качества подготовки запросов на инвестирование проектов, направляемых в банки и институты развития.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7" w:line="271" w:lineRule="exact"/>
        <w:ind w:left="866" w:right="595" w:hanging="33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Оптимизация расходов на текущие нужды. Внедрение технологий бережливого производства. Сокращение численности персонала, использование нематериальной мотивации.</w:t>
      </w:r>
    </w:p>
    <w:p w:rsidR="009D4477" w:rsidRDefault="009D4477" w:rsidP="009D4477">
      <w:pPr>
        <w:numPr>
          <w:ilvl w:val="0"/>
          <w:numId w:val="1"/>
        </w:numPr>
        <w:shd w:val="clear" w:color="auto" w:fill="FFFFFF"/>
        <w:tabs>
          <w:tab w:val="left" w:pos="866"/>
        </w:tabs>
        <w:spacing w:before="7" w:line="271" w:lineRule="exact"/>
        <w:ind w:left="866" w:right="595" w:hanging="336"/>
        <w:jc w:val="both"/>
        <w:rPr>
          <w:rFonts w:eastAsia="Times New Roman"/>
          <w:sz w:val="22"/>
          <w:szCs w:val="22"/>
        </w:rPr>
        <w:sectPr w:rsidR="009D4477" w:rsidSect="009D4477">
          <w:type w:val="continuous"/>
          <w:pgSz w:w="11909" w:h="16834"/>
          <w:pgMar w:top="1440" w:right="756" w:bottom="720" w:left="1057" w:header="720" w:footer="720" w:gutter="0"/>
          <w:cols w:space="60"/>
          <w:noEndnote/>
        </w:sectPr>
      </w:pPr>
    </w:p>
    <w:p w:rsidR="009D4477" w:rsidRDefault="009D4477" w:rsidP="009D4477">
      <w:pPr>
        <w:numPr>
          <w:ilvl w:val="0"/>
          <w:numId w:val="3"/>
        </w:numPr>
        <w:shd w:val="clear" w:color="auto" w:fill="FFFFFF"/>
        <w:tabs>
          <w:tab w:val="left" w:pos="914"/>
        </w:tabs>
        <w:spacing w:line="266" w:lineRule="exact"/>
        <w:ind w:left="2" w:firstLine="686"/>
        <w:jc w:val="both"/>
        <w:rPr>
          <w:b/>
          <w:bCs/>
          <w:spacing w:val="-8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lastRenderedPageBreak/>
        <w:t xml:space="preserve">Реализация инвестиционного проекта с учетом оптимизации расходов. </w:t>
      </w:r>
      <w:r>
        <w:rPr>
          <w:rFonts w:eastAsia="Times New Roman"/>
          <w:sz w:val="22"/>
          <w:szCs w:val="22"/>
        </w:rPr>
        <w:t>Схема взаимодействия участников инвестиционного проекта. Поправка на риск инвестиционного проекта.</w:t>
      </w:r>
    </w:p>
    <w:p w:rsidR="009D4477" w:rsidRDefault="009D4477" w:rsidP="009D4477">
      <w:pPr>
        <w:numPr>
          <w:ilvl w:val="0"/>
          <w:numId w:val="3"/>
        </w:numPr>
        <w:shd w:val="clear" w:color="auto" w:fill="FFFFFF"/>
        <w:tabs>
          <w:tab w:val="left" w:pos="914"/>
        </w:tabs>
        <w:spacing w:before="137" w:line="259" w:lineRule="exact"/>
        <w:ind w:left="2" w:right="55" w:firstLine="686"/>
        <w:jc w:val="both"/>
        <w:rPr>
          <w:b/>
          <w:bCs/>
          <w:spacing w:val="-8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Программы поддержки инвестиционных проектов, реализуемых на территории Российской Федерации.</w:t>
      </w:r>
    </w:p>
    <w:p w:rsidR="009D4477" w:rsidRDefault="009D4477" w:rsidP="009D4477">
      <w:pPr>
        <w:numPr>
          <w:ilvl w:val="0"/>
          <w:numId w:val="4"/>
        </w:numPr>
        <w:shd w:val="clear" w:color="auto" w:fill="FFFFFF"/>
        <w:tabs>
          <w:tab w:val="left" w:pos="914"/>
        </w:tabs>
        <w:spacing w:before="130" w:line="271" w:lineRule="exact"/>
        <w:ind w:left="689"/>
        <w:rPr>
          <w:b/>
          <w:bCs/>
          <w:spacing w:val="-8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Государственный надзор и контроль.</w:t>
      </w:r>
    </w:p>
    <w:p w:rsidR="009D4477" w:rsidRDefault="009D4477" w:rsidP="009D4477">
      <w:pPr>
        <w:rPr>
          <w:sz w:val="2"/>
          <w:szCs w:val="2"/>
        </w:rPr>
      </w:pPr>
    </w:p>
    <w:p w:rsidR="009D4477" w:rsidRDefault="009D4477" w:rsidP="009D4477">
      <w:pPr>
        <w:numPr>
          <w:ilvl w:val="0"/>
          <w:numId w:val="5"/>
        </w:numPr>
        <w:shd w:val="clear" w:color="auto" w:fill="FFFFFF"/>
        <w:tabs>
          <w:tab w:val="left" w:pos="682"/>
        </w:tabs>
        <w:spacing w:before="5" w:line="271" w:lineRule="exact"/>
        <w:ind w:left="682" w:right="12" w:hanging="33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Государственный финансовый контроль, осуществляемый Счетной палатой РФ, за использованием </w:t>
      </w:r>
      <w:r>
        <w:rPr>
          <w:rFonts w:eastAsia="Times New Roman"/>
          <w:sz w:val="22"/>
          <w:szCs w:val="22"/>
        </w:rPr>
        <w:lastRenderedPageBreak/>
        <w:t>бюджетный сре</w:t>
      </w:r>
      <w:proofErr w:type="gramStart"/>
      <w:r>
        <w:rPr>
          <w:rFonts w:eastAsia="Times New Roman"/>
          <w:sz w:val="22"/>
          <w:szCs w:val="22"/>
        </w:rPr>
        <w:t>дств пр</w:t>
      </w:r>
      <w:proofErr w:type="gramEnd"/>
      <w:r>
        <w:rPr>
          <w:rFonts w:eastAsia="Times New Roman"/>
          <w:sz w:val="22"/>
          <w:szCs w:val="22"/>
        </w:rPr>
        <w:t>и реализации инвестиционных проектов.</w:t>
      </w:r>
    </w:p>
    <w:p w:rsidR="009D4477" w:rsidRDefault="009D4477" w:rsidP="009D4477">
      <w:pPr>
        <w:numPr>
          <w:ilvl w:val="0"/>
          <w:numId w:val="5"/>
        </w:numPr>
        <w:shd w:val="clear" w:color="auto" w:fill="FFFFFF"/>
        <w:tabs>
          <w:tab w:val="left" w:pos="682"/>
        </w:tabs>
        <w:spacing w:before="10" w:line="271" w:lineRule="exact"/>
        <w:ind w:left="682" w:right="29" w:hanging="33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Государственная экспертиза строительных проектов. Различия между государственной экспертизой и публичным технологическим и ценовым аудитом инвестиционного проекта.</w:t>
      </w:r>
    </w:p>
    <w:p w:rsidR="009D4477" w:rsidRDefault="009D4477" w:rsidP="009D4477">
      <w:pPr>
        <w:numPr>
          <w:ilvl w:val="0"/>
          <w:numId w:val="5"/>
        </w:numPr>
        <w:shd w:val="clear" w:color="auto" w:fill="FFFFFF"/>
        <w:tabs>
          <w:tab w:val="left" w:pos="682"/>
        </w:tabs>
        <w:spacing w:before="7" w:line="271" w:lineRule="exact"/>
        <w:ind w:left="682" w:right="22" w:hanging="33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- Особенности закупок при реализации крупных </w:t>
      </w:r>
      <w:proofErr w:type="spellStart"/>
      <w:r>
        <w:rPr>
          <w:rFonts w:eastAsia="Times New Roman"/>
          <w:sz w:val="22"/>
          <w:szCs w:val="22"/>
        </w:rPr>
        <w:t>инвестпроектов</w:t>
      </w:r>
      <w:proofErr w:type="spellEnd"/>
      <w:r>
        <w:rPr>
          <w:rFonts w:eastAsia="Times New Roman"/>
          <w:sz w:val="22"/>
          <w:szCs w:val="22"/>
        </w:rPr>
        <w:t xml:space="preserve"> с господдержкой - изменения 2015 года в 223-ФЗ и 44-ФЗ.</w:t>
      </w:r>
    </w:p>
    <w:p w:rsidR="009D4477" w:rsidRDefault="009D4477" w:rsidP="009D4477">
      <w:pPr>
        <w:shd w:val="clear" w:color="auto" w:fill="FFFFFF"/>
        <w:tabs>
          <w:tab w:val="left" w:pos="977"/>
        </w:tabs>
        <w:spacing w:before="134" w:line="264" w:lineRule="exact"/>
        <w:ind w:left="5" w:right="22" w:firstLine="684"/>
        <w:jc w:val="both"/>
      </w:pPr>
      <w:r>
        <w:rPr>
          <w:b/>
          <w:bCs/>
          <w:spacing w:val="-9"/>
          <w:sz w:val="22"/>
          <w:szCs w:val="22"/>
        </w:rPr>
        <w:t>8.</w:t>
      </w:r>
      <w:r>
        <w:rPr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>Практика коммерческой оценки и экспертизы инвестиционных проектов в</w:t>
      </w:r>
      <w:r>
        <w:rPr>
          <w:rFonts w:eastAsia="Times New Roman"/>
          <w:b/>
          <w:bCs/>
          <w:sz w:val="22"/>
          <w:szCs w:val="22"/>
        </w:rPr>
        <w:br/>
        <w:t xml:space="preserve">различных отраслях. </w:t>
      </w:r>
      <w:r>
        <w:rPr>
          <w:rFonts w:eastAsia="Times New Roman"/>
          <w:sz w:val="22"/>
          <w:szCs w:val="22"/>
        </w:rPr>
        <w:t>Улучшение финансово-экономических и социально-экономических</w:t>
      </w:r>
      <w:r>
        <w:rPr>
          <w:rFonts w:eastAsia="Times New Roman"/>
          <w:sz w:val="22"/>
          <w:szCs w:val="22"/>
        </w:rPr>
        <w:br/>
        <w:t>показателей от реализации инвестиционных проектов.</w:t>
      </w:r>
    </w:p>
    <w:p w:rsidR="009D4477" w:rsidRDefault="009D4477" w:rsidP="009D4477">
      <w:pPr>
        <w:shd w:val="clear" w:color="auto" w:fill="FFFFFF"/>
        <w:spacing w:before="422" w:line="242" w:lineRule="exact"/>
        <w:ind w:left="7"/>
      </w:pPr>
      <w:r>
        <w:rPr>
          <w:rFonts w:eastAsia="Times New Roman"/>
          <w:b/>
          <w:bCs/>
          <w:spacing w:val="-6"/>
          <w:sz w:val="22"/>
          <w:szCs w:val="22"/>
        </w:rPr>
        <w:t xml:space="preserve">СТОИМОСТЬ УЧАСТИЯ: </w:t>
      </w:r>
      <w:r>
        <w:rPr>
          <w:rFonts w:eastAsia="Times New Roman"/>
          <w:spacing w:val="-6"/>
          <w:sz w:val="22"/>
          <w:szCs w:val="22"/>
        </w:rPr>
        <w:t>28 500 руб. НДС не облагается.</w:t>
      </w:r>
    </w:p>
    <w:p w:rsidR="009D4477" w:rsidRDefault="009D4477" w:rsidP="009D4477">
      <w:pPr>
        <w:shd w:val="clear" w:color="auto" w:fill="FFFFFF"/>
        <w:spacing w:line="242" w:lineRule="exact"/>
        <w:ind w:left="7"/>
      </w:pPr>
      <w:r>
        <w:rPr>
          <w:rFonts w:eastAsia="Times New Roman"/>
          <w:b/>
          <w:bCs/>
          <w:spacing w:val="-5"/>
          <w:sz w:val="22"/>
          <w:szCs w:val="22"/>
        </w:rPr>
        <w:t xml:space="preserve">СКИДКИ: </w:t>
      </w:r>
      <w:r>
        <w:rPr>
          <w:rFonts w:eastAsia="Times New Roman"/>
          <w:spacing w:val="-5"/>
          <w:sz w:val="22"/>
          <w:szCs w:val="22"/>
        </w:rPr>
        <w:t>При регистрации двух и более участников от одной организации предоставляется скидка</w:t>
      </w:r>
    </w:p>
    <w:p w:rsidR="009D4477" w:rsidRDefault="009D4477" w:rsidP="009D4477">
      <w:pPr>
        <w:shd w:val="clear" w:color="auto" w:fill="FFFFFF"/>
        <w:spacing w:line="242" w:lineRule="exact"/>
        <w:ind w:left="22"/>
      </w:pPr>
      <w:r>
        <w:rPr>
          <w:rFonts w:ascii="Arial" w:hAnsi="Arial" w:cs="Arial"/>
          <w:spacing w:val="-17"/>
        </w:rPr>
        <w:t>10%</w:t>
      </w:r>
    </w:p>
    <w:p w:rsidR="009D4477" w:rsidRDefault="009D4477" w:rsidP="009D4477">
      <w:pPr>
        <w:shd w:val="clear" w:color="auto" w:fill="FFFFFF"/>
        <w:spacing w:line="242" w:lineRule="exact"/>
        <w:ind w:left="2"/>
      </w:pPr>
      <w:r>
        <w:rPr>
          <w:rFonts w:eastAsia="Times New Roman"/>
          <w:b/>
          <w:bCs/>
          <w:spacing w:val="-5"/>
          <w:sz w:val="22"/>
          <w:szCs w:val="22"/>
        </w:rPr>
        <w:t xml:space="preserve">РЕГИСТРАЦИЯ на сайте </w:t>
      </w:r>
      <w:hyperlink r:id="rId7" w:history="1">
        <w:r>
          <w:rPr>
            <w:rFonts w:eastAsia="Times New Roman"/>
            <w:b/>
            <w:bCs/>
            <w:spacing w:val="-5"/>
            <w:sz w:val="22"/>
            <w:szCs w:val="22"/>
            <w:u w:val="single"/>
            <w:lang w:val="en-US"/>
          </w:rPr>
          <w:t>www</w:t>
        </w:r>
        <w:r w:rsidRPr="007A649F">
          <w:rPr>
            <w:rFonts w:eastAsia="Times New Roman"/>
            <w:b/>
            <w:bCs/>
            <w:spacing w:val="-5"/>
            <w:sz w:val="22"/>
            <w:szCs w:val="22"/>
            <w:u w:val="single"/>
          </w:rPr>
          <w:t>.</w:t>
        </w:r>
        <w:proofErr w:type="spellStart"/>
        <w:r>
          <w:rPr>
            <w:rFonts w:eastAsia="Times New Roman"/>
            <w:b/>
            <w:bCs/>
            <w:spacing w:val="-5"/>
            <w:sz w:val="22"/>
            <w:szCs w:val="22"/>
            <w:u w:val="single"/>
            <w:lang w:val="en-US"/>
          </w:rPr>
          <w:t>profitcon</w:t>
        </w:r>
        <w:proofErr w:type="spellEnd"/>
        <w:r w:rsidRPr="007A649F">
          <w:rPr>
            <w:rFonts w:eastAsia="Times New Roman"/>
            <w:b/>
            <w:bCs/>
            <w:spacing w:val="-5"/>
            <w:sz w:val="22"/>
            <w:szCs w:val="22"/>
            <w:u w:val="single"/>
          </w:rPr>
          <w:t>.</w:t>
        </w:r>
        <w:proofErr w:type="spellStart"/>
        <w:r>
          <w:rPr>
            <w:rFonts w:eastAsia="Times New Roman"/>
            <w:b/>
            <w:bCs/>
            <w:spacing w:val="-5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7A649F"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/>
          <w:spacing w:val="-5"/>
          <w:sz w:val="22"/>
          <w:szCs w:val="22"/>
        </w:rPr>
        <w:t>или по тел.+7 (495) 960-47-73, (495) 798-13-49,</w:t>
      </w:r>
    </w:p>
    <w:p w:rsidR="009D4477" w:rsidRDefault="009D4477" w:rsidP="009D4477">
      <w:pPr>
        <w:shd w:val="clear" w:color="auto" w:fill="FFFFFF"/>
        <w:spacing w:before="5" w:line="242" w:lineRule="exact"/>
        <w:ind w:left="2"/>
      </w:pPr>
      <w:r>
        <w:rPr>
          <w:rFonts w:ascii="Arial" w:hAnsi="Arial" w:cs="Arial"/>
          <w:spacing w:val="-6"/>
        </w:rPr>
        <w:t>(495) 234-70-33</w:t>
      </w:r>
    </w:p>
    <w:p w:rsidR="009D4477" w:rsidRDefault="009D4477" w:rsidP="009D4477">
      <w:pPr>
        <w:shd w:val="clear" w:color="auto" w:fill="FFFFFF"/>
        <w:spacing w:before="271"/>
        <w:rPr>
          <w:rFonts w:eastAsia="Times New Roman"/>
          <w:b/>
          <w:bCs/>
          <w:sz w:val="22"/>
          <w:szCs w:val="22"/>
        </w:rPr>
      </w:pPr>
      <w:hyperlink r:id="rId8" w:history="1">
        <w:r>
          <w:rPr>
            <w:sz w:val="22"/>
            <w:szCs w:val="22"/>
            <w:u w:val="single"/>
            <w:lang w:val="en-US"/>
          </w:rPr>
          <w:t>conference</w:t>
        </w:r>
        <w:r w:rsidRPr="007A649F">
          <w:rPr>
            <w:sz w:val="22"/>
            <w:szCs w:val="22"/>
            <w:u w:val="single"/>
          </w:rPr>
          <w:t>@</w:t>
        </w:r>
        <w:r>
          <w:rPr>
            <w:sz w:val="22"/>
            <w:szCs w:val="22"/>
            <w:u w:val="single"/>
            <w:lang w:val="en-US"/>
          </w:rPr>
          <w:t>group</w:t>
        </w:r>
        <w:r w:rsidRPr="007A649F">
          <w:rPr>
            <w:sz w:val="22"/>
            <w:szCs w:val="22"/>
            <w:u w:val="single"/>
          </w:rPr>
          <w:t>-</w:t>
        </w:r>
        <w:proofErr w:type="spellStart"/>
        <w:r>
          <w:rPr>
            <w:sz w:val="22"/>
            <w:szCs w:val="22"/>
            <w:u w:val="single"/>
            <w:lang w:val="en-US"/>
          </w:rPr>
          <w:t>adk</w:t>
        </w:r>
        <w:proofErr w:type="spellEnd"/>
        <w:r w:rsidRPr="007A649F">
          <w:rPr>
            <w:sz w:val="22"/>
            <w:szCs w:val="22"/>
            <w:u w:val="single"/>
          </w:rPr>
          <w:t>.</w:t>
        </w:r>
        <w:proofErr w:type="spellStart"/>
        <w:r>
          <w:rPr>
            <w:sz w:val="22"/>
            <w:szCs w:val="22"/>
            <w:u w:val="single"/>
            <w:lang w:val="en-US"/>
          </w:rPr>
          <w:t>ru</w:t>
        </w:r>
        <w:proofErr w:type="spellEnd"/>
      </w:hyperlink>
      <w:r w:rsidRPr="007A649F">
        <w:rPr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Контактное лицо: Ячменев Сергей Павлович</w:t>
      </w:r>
    </w:p>
    <w:p w:rsidR="009D4477" w:rsidRDefault="009D4477" w:rsidP="009D4477">
      <w:pPr>
        <w:shd w:val="clear" w:color="auto" w:fill="FFFFFF"/>
        <w:spacing w:before="271"/>
        <w:rPr>
          <w:rFonts w:eastAsia="Times New Roman"/>
          <w:b/>
          <w:bCs/>
          <w:sz w:val="22"/>
          <w:szCs w:val="22"/>
        </w:rPr>
      </w:pPr>
    </w:p>
    <w:p w:rsidR="009D4477" w:rsidRDefault="009D4477" w:rsidP="009D4477">
      <w:pPr>
        <w:shd w:val="clear" w:color="auto" w:fill="FFFFFF"/>
        <w:spacing w:before="271"/>
        <w:rPr>
          <w:rFonts w:eastAsia="Times New Roman"/>
          <w:b/>
          <w:bCs/>
          <w:sz w:val="22"/>
          <w:szCs w:val="22"/>
        </w:rPr>
      </w:pPr>
    </w:p>
    <w:p w:rsidR="009D4477" w:rsidRDefault="009D4477" w:rsidP="009D4477">
      <w:pPr>
        <w:shd w:val="clear" w:color="auto" w:fill="FFFFFF"/>
        <w:spacing w:before="271"/>
        <w:rPr>
          <w:rFonts w:eastAsia="Times New Roman"/>
          <w:b/>
          <w:bCs/>
          <w:sz w:val="22"/>
          <w:szCs w:val="22"/>
        </w:rPr>
      </w:pPr>
    </w:p>
    <w:p w:rsidR="001D0691" w:rsidRDefault="001D0691" w:rsidP="009D4477">
      <w:pPr>
        <w:shd w:val="clear" w:color="auto" w:fill="FFFFFF"/>
        <w:spacing w:line="221" w:lineRule="exact"/>
        <w:sectPr w:rsidR="001D0691">
          <w:type w:val="continuous"/>
          <w:pgSz w:w="11909" w:h="16834"/>
          <w:pgMar w:top="775" w:right="360" w:bottom="360" w:left="912" w:header="720" w:footer="720" w:gutter="0"/>
          <w:cols w:space="60"/>
          <w:noEndnote/>
        </w:sectPr>
      </w:pPr>
      <w:bookmarkStart w:id="0" w:name="_GoBack"/>
      <w:bookmarkEnd w:id="0"/>
    </w:p>
    <w:p w:rsidR="009D4477" w:rsidRDefault="009D4477" w:rsidP="009D4477"/>
    <w:sectPr w:rsidR="009D4477" w:rsidSect="009D4477">
      <w:pgSz w:w="11909" w:h="16834"/>
      <w:pgMar w:top="1440" w:right="756" w:bottom="720" w:left="10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166CC6"/>
    <w:lvl w:ilvl="0">
      <w:numFmt w:val="bullet"/>
      <w:lvlText w:val="*"/>
      <w:lvlJc w:val="left"/>
    </w:lvl>
  </w:abstractNum>
  <w:abstractNum w:abstractNumId="1">
    <w:nsid w:val="1EF26BA1"/>
    <w:multiLevelType w:val="singleLevel"/>
    <w:tmpl w:val="A5A2C86A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458A1159"/>
    <w:multiLevelType w:val="singleLevel"/>
    <w:tmpl w:val="156AFE66"/>
    <w:lvl w:ilvl="0">
      <w:start w:val="3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5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9F"/>
    <w:rsid w:val="001D0691"/>
    <w:rsid w:val="007A649F"/>
    <w:rsid w:val="009D4477"/>
    <w:rsid w:val="00E7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@group-ad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fitc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331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Шурыгина</dc:creator>
  <cp:lastModifiedBy>Екатерина С. Шурыгина</cp:lastModifiedBy>
  <cp:revision>3</cp:revision>
  <dcterms:created xsi:type="dcterms:W3CDTF">2016-02-09T11:06:00Z</dcterms:created>
  <dcterms:modified xsi:type="dcterms:W3CDTF">2016-02-09T11:46:00Z</dcterms:modified>
</cp:coreProperties>
</file>